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12DF2AD3" w14:textId="77777777" w:rsidP="00147E1E" w:rsidR="00147E1E" w:rsidRDefault="00147E1E">
      <w:pPr>
        <w:pBdr>
          <w:top w:color="auto" w:space="1" w:sz="4" w:val="single"/>
          <w:left w:color="auto" w:space="4" w:sz="4" w:val="single"/>
          <w:bottom w:color="auto" w:space="1" w:sz="4" w:val="single"/>
          <w:right w:color="auto" w:space="4" w:sz="4" w:val="single"/>
        </w:pBdr>
        <w:jc w:val="center"/>
        <w:rPr>
          <w:b/>
          <w:bCs/>
          <w:sz w:val="30"/>
          <w:szCs w:val="30"/>
        </w:rPr>
      </w:pPr>
      <w:bookmarkStart w:id="0" w:name="_GoBack"/>
      <w:bookmarkEnd w:id="0"/>
      <w:r w:rsidRPr="00952119">
        <w:rPr>
          <w:b/>
          <w:bCs/>
          <w:sz w:val="30"/>
          <w:szCs w:val="30"/>
        </w:rPr>
        <w:t>ACCORD D’ENTREPRISE RELATIF AU CONTINGENT D’HEURES SUPPLEMENTAIRES</w:t>
      </w:r>
    </w:p>
    <w:p w14:paraId="167A928F" w14:textId="77777777" w:rsidP="00147E1E" w:rsidR="00147E1E" w:rsidRDefault="00147E1E">
      <w:pPr>
        <w:rPr>
          <w:b/>
          <w:bCs/>
          <w:sz w:val="30"/>
          <w:szCs w:val="30"/>
        </w:rPr>
      </w:pPr>
    </w:p>
    <w:p w14:paraId="77552A5F" w14:textId="77777777" w:rsidP="00147E1E" w:rsidR="00147E1E" w:rsidRDefault="00147E1E" w:rsidRPr="00C86053">
      <w:pPr>
        <w:tabs>
          <w:tab w:pos="0" w:val="left"/>
          <w:tab w:pos="3402" w:val="left"/>
        </w:tabs>
        <w:rPr>
          <w:b/>
        </w:rPr>
      </w:pPr>
      <w:r w:rsidRPr="00C86053">
        <w:rPr>
          <w:b/>
        </w:rPr>
        <w:t>ENTRE</w:t>
      </w:r>
    </w:p>
    <w:p w14:paraId="19478815" w14:textId="2D848C2D" w:rsidP="00147E1E" w:rsidR="00147E1E" w:rsidRDefault="00147E1E" w:rsidRPr="00C86053">
      <w:pPr>
        <w:tabs>
          <w:tab w:pos="0" w:val="left"/>
          <w:tab w:pos="3402" w:val="left"/>
        </w:tabs>
      </w:pPr>
      <w:r>
        <w:t xml:space="preserve">L’entreprise </w:t>
      </w:r>
      <w:r w:rsidRPr="00213B39">
        <w:rPr>
          <w:b/>
          <w:bCs/>
        </w:rPr>
        <w:t xml:space="preserve">Guinier Génie </w:t>
      </w:r>
      <w:r>
        <w:rPr>
          <w:b/>
          <w:bCs/>
        </w:rPr>
        <w:t>Climatique</w:t>
      </w:r>
      <w:r>
        <w:t xml:space="preserve"> dont</w:t>
      </w:r>
      <w:r w:rsidRPr="00C86053">
        <w:t xml:space="preserve"> le siège social est situé</w:t>
      </w:r>
      <w:r>
        <w:t xml:space="preserve"> au </w:t>
      </w:r>
      <w:r w:rsidRPr="00213B39">
        <w:rPr>
          <w:b/>
          <w:bCs/>
        </w:rPr>
        <w:t>71, rue Etienne Dolet 94140 ALFORTVILLE</w:t>
      </w:r>
      <w:r>
        <w:t xml:space="preserve">, immatriculé au répertoire des Métiers sous le SIRET </w:t>
      </w:r>
      <w:r>
        <w:rPr>
          <w:b/>
          <w:bCs/>
        </w:rPr>
        <w:t>308</w:t>
      </w:r>
      <w:r w:rsidRPr="00213B39">
        <w:rPr>
          <w:b/>
          <w:bCs/>
        </w:rPr>
        <w:t> </w:t>
      </w:r>
      <w:r>
        <w:rPr>
          <w:b/>
          <w:bCs/>
        </w:rPr>
        <w:t>100</w:t>
      </w:r>
      <w:r w:rsidRPr="00213B39">
        <w:rPr>
          <w:b/>
          <w:bCs/>
        </w:rPr>
        <w:t> </w:t>
      </w:r>
      <w:r>
        <w:rPr>
          <w:b/>
          <w:bCs/>
        </w:rPr>
        <w:t>684</w:t>
      </w:r>
      <w:r w:rsidRPr="00213B39">
        <w:rPr>
          <w:b/>
          <w:bCs/>
        </w:rPr>
        <w:t xml:space="preserve"> 000 </w:t>
      </w:r>
      <w:r>
        <w:rPr>
          <w:b/>
          <w:bCs/>
        </w:rPr>
        <w:t>49</w:t>
      </w:r>
      <w:r>
        <w:t xml:space="preserve"> et </w:t>
      </w:r>
      <w:r w:rsidRPr="00C86053">
        <w:t xml:space="preserve">représentée par </w:t>
      </w:r>
      <w:r w:rsidR="00FA64CA">
        <w:t>XXXXXXXXXXXXXXX</w:t>
      </w:r>
      <w:r w:rsidRPr="00C86053">
        <w:t xml:space="preserve"> en sa qualité de</w:t>
      </w:r>
      <w:r>
        <w:t xml:space="preserve"> Président, </w:t>
      </w:r>
    </w:p>
    <w:p w14:paraId="683C53FC" w14:textId="77777777" w:rsidP="00147E1E" w:rsidR="00147E1E" w:rsidRDefault="00147E1E" w:rsidRPr="00773988">
      <w:pPr>
        <w:tabs>
          <w:tab w:pos="0" w:val="left"/>
          <w:tab w:pos="3402" w:val="left"/>
        </w:tabs>
      </w:pPr>
      <w:r w:rsidRPr="00C86053">
        <w:rPr>
          <w:b/>
        </w:rPr>
        <w:t>ET</w:t>
      </w:r>
    </w:p>
    <w:p w14:paraId="6D6ED9E3" w14:textId="104AEEB8" w:rsidP="00147E1E" w:rsidR="00147E1E" w:rsidRDefault="00147E1E">
      <w:pPr>
        <w:tabs>
          <w:tab w:pos="0" w:val="left"/>
          <w:tab w:pos="543" w:val="left"/>
        </w:tabs>
      </w:pPr>
      <w:r>
        <w:t xml:space="preserve">Le CSE représenté par </w:t>
      </w:r>
      <w:r w:rsidR="00FA64CA">
        <w:rPr>
          <w:b/>
          <w:bCs/>
        </w:rPr>
        <w:t xml:space="preserve"> </w:t>
      </w:r>
      <w:r w:rsidR="00FA64CA">
        <w:t>XXXXXXXXXXXXXXX</w:t>
      </w:r>
      <w:r>
        <w:t xml:space="preserve"> </w:t>
      </w:r>
    </w:p>
    <w:p w14:paraId="50A9D685" w14:textId="77777777" w:rsidP="00147E1E" w:rsidR="00147E1E" w:rsidRDefault="00147E1E">
      <w:pPr>
        <w:tabs>
          <w:tab w:pos="0" w:val="left"/>
          <w:tab w:pos="543" w:val="left"/>
        </w:tabs>
      </w:pPr>
      <w:r>
        <w:t xml:space="preserve">Il est convenu ce qui suit : </w:t>
      </w:r>
    </w:p>
    <w:p w14:paraId="1E978C4D" w14:textId="77777777" w:rsidP="00147E1E" w:rsidR="00147E1E" w:rsidRDefault="00147E1E" w:rsidRPr="00773988">
      <w:pPr>
        <w:tabs>
          <w:tab w:pos="0" w:val="left"/>
          <w:tab w:pos="543" w:val="left"/>
        </w:tabs>
      </w:pPr>
    </w:p>
    <w:p w14:paraId="36EE3399" w14:textId="77777777" w:rsidP="00147E1E" w:rsidR="00147E1E" w:rsidRDefault="00147E1E">
      <w:pPr>
        <w:numPr>
          <w:ilvl w:val="12"/>
          <w:numId w:val="0"/>
        </w:numPr>
        <w:tabs>
          <w:tab w:pos="0" w:val="left"/>
          <w:tab w:pos="543" w:val="left"/>
        </w:tabs>
        <w:rPr>
          <w:b/>
        </w:rPr>
      </w:pPr>
      <w:r w:rsidRPr="00C86053">
        <w:rPr>
          <w:b/>
        </w:rPr>
        <w:t>PRÉAMBULE</w:t>
      </w:r>
    </w:p>
    <w:p w14:paraId="6B3E5550" w14:textId="77777777" w:rsidP="00147E1E" w:rsidR="00147E1E" w:rsidRDefault="00147E1E">
      <w:pPr>
        <w:numPr>
          <w:ilvl w:val="12"/>
          <w:numId w:val="0"/>
        </w:numPr>
        <w:tabs>
          <w:tab w:pos="0" w:val="left"/>
          <w:tab w:pos="543" w:val="left"/>
        </w:tabs>
        <w:rPr>
          <w:bCs/>
        </w:rPr>
      </w:pPr>
      <w:r>
        <w:rPr>
          <w:bCs/>
        </w:rPr>
        <w:t>Depuis le 1</w:t>
      </w:r>
      <w:r w:rsidRPr="00FE19DF">
        <w:rPr>
          <w:bCs/>
          <w:vertAlign w:val="superscript"/>
        </w:rPr>
        <w:t>er</w:t>
      </w:r>
      <w:r>
        <w:rPr>
          <w:bCs/>
        </w:rPr>
        <w:t xml:space="preserve"> juillet 2018, l’entreprise a fait évoluer certaines de ses pratiques, afin de se mettre en conformité avec la nouvelle rédaction de la convention collective nationale des Ouvriers du 8 octobre 1990 révisée le 7 mars 2019. Toutefois, cette nouvelle rédaction vient d’être remise en cause. Partant du constat que l’activité de l’entreprise nécessite de conserver à son niveau des avancées importantes issues du texte révisé, tant pour les salariés que pour l’entreprise, et soucieuses de préserver cet équilibre global, les parties ont décidé maintenir le contingent d’heures supplémentaires à un niveau élevé. </w:t>
      </w:r>
    </w:p>
    <w:p w14:paraId="515BCB02" w14:textId="77777777" w:rsidP="00147E1E" w:rsidR="00147E1E" w:rsidRDefault="00147E1E" w:rsidRPr="002C32DC">
      <w:pPr>
        <w:numPr>
          <w:ilvl w:val="12"/>
          <w:numId w:val="0"/>
        </w:numPr>
        <w:tabs>
          <w:tab w:pos="0" w:val="left"/>
          <w:tab w:pos="543" w:val="left"/>
        </w:tabs>
        <w:rPr>
          <w:bCs/>
        </w:rPr>
      </w:pPr>
    </w:p>
    <w:p w14:paraId="4987E9C3" w14:textId="77777777" w:rsidP="00147E1E" w:rsidR="00147E1E" w:rsidRDefault="00147E1E" w:rsidRPr="00C86053">
      <w:pPr>
        <w:pStyle w:val="Article1annexe"/>
      </w:pPr>
      <w:r w:rsidRPr="00BA745C">
        <w:t xml:space="preserve">Article 1. </w:t>
      </w:r>
      <w:r>
        <w:t xml:space="preserve">Contingent d’heures supplémentaires </w:t>
      </w:r>
    </w:p>
    <w:p w14:paraId="7E1FB61A" w14:textId="77777777" w:rsidP="00147E1E" w:rsidR="00147E1E" w:rsidRDefault="00147E1E">
      <w:pPr>
        <w:pStyle w:val="Article1annexe"/>
        <w:rPr>
          <w:b w:val="0"/>
          <w:bCs/>
        </w:rPr>
      </w:pPr>
      <w:r w:rsidRPr="00DB5171">
        <w:rPr>
          <w:b w:val="0"/>
          <w:bCs/>
        </w:rPr>
        <w:t xml:space="preserve">A compter du </w:t>
      </w:r>
      <w:r>
        <w:rPr>
          <w:b w:val="0"/>
          <w:bCs/>
        </w:rPr>
        <w:t xml:space="preserve">01 janvier 2021, le contingent d’heures supplémentaires applicable à l’ensemble des salariés de l’entreprise (Ouvriers, Etam, Cadres), est : </w:t>
      </w:r>
    </w:p>
    <w:p w14:paraId="219A029A" w14:textId="77777777" w:rsidP="00147E1E" w:rsidR="00147E1E" w:rsidRDefault="00147E1E">
      <w:pPr>
        <w:pStyle w:val="Article1annexe"/>
        <w:numPr>
          <w:ilvl w:val="0"/>
          <w:numId w:val="2"/>
        </w:numPr>
        <w:rPr>
          <w:b w:val="0"/>
          <w:bCs/>
        </w:rPr>
      </w:pPr>
      <w:r>
        <w:rPr>
          <w:b w:val="0"/>
          <w:bCs/>
        </w:rPr>
        <w:t xml:space="preserve">Pour les entreprises qui n’annualisent pas le temps de travail : de 300 heures par an et par salarié. </w:t>
      </w:r>
    </w:p>
    <w:p w14:paraId="2C628ADD" w14:textId="77777777" w:rsidP="00147E1E" w:rsidR="00147E1E" w:rsidRDefault="00147E1E" w:rsidRPr="00AF7E3A">
      <w:pPr>
        <w:pStyle w:val="Article1annexe"/>
        <w:ind w:left="720"/>
        <w:rPr>
          <w:b w:val="0"/>
          <w:bCs/>
        </w:rPr>
      </w:pPr>
    </w:p>
    <w:p w14:paraId="5B760D9C" w14:textId="77777777" w:rsidP="00147E1E" w:rsidR="00147E1E" w:rsidRDefault="00147E1E">
      <w:pPr>
        <w:pStyle w:val="Article1annexe"/>
      </w:pPr>
      <w:r w:rsidRPr="00C86053">
        <w:t>Article 2</w:t>
      </w:r>
      <w:r>
        <w:t xml:space="preserve">. Majorations applicables aux heures supplémentaires </w:t>
      </w:r>
    </w:p>
    <w:p w14:paraId="5AF504E5" w14:textId="77777777" w:rsidP="00147E1E" w:rsidR="00147E1E" w:rsidRDefault="00147E1E">
      <w:pPr>
        <w:pStyle w:val="Article1annexe"/>
        <w:rPr>
          <w:b w:val="0"/>
          <w:bCs/>
          <w:color w:val="FF0000"/>
        </w:rPr>
      </w:pPr>
      <w:r>
        <w:rPr>
          <w:b w:val="0"/>
          <w:bCs/>
        </w:rPr>
        <w:t xml:space="preserve">Conformément aux dispositions légales et conventionnelles actuellement en vigueur, les heures supplémentaires effectuées au-delà de la durée hebdomadaire de travail de 35 heures par semaine ouvrent droit à une majoration de : </w:t>
      </w:r>
    </w:p>
    <w:p w14:paraId="04C99C43" w14:textId="77777777" w:rsidP="00147E1E" w:rsidR="00147E1E" w:rsidRDefault="00147E1E">
      <w:pPr>
        <w:pStyle w:val="Article1annexe"/>
        <w:numPr>
          <w:ilvl w:val="0"/>
          <w:numId w:val="2"/>
        </w:numPr>
        <w:rPr>
          <w:b w:val="0"/>
          <w:bCs/>
        </w:rPr>
      </w:pPr>
      <w:r>
        <w:rPr>
          <w:b w:val="0"/>
          <w:bCs/>
        </w:rPr>
        <w:t xml:space="preserve">25% du salaire horaire effectif pour les 8 premières heures </w:t>
      </w:r>
    </w:p>
    <w:p w14:paraId="51560433" w14:textId="77777777" w:rsidP="00147E1E" w:rsidR="00147E1E" w:rsidRDefault="00147E1E">
      <w:pPr>
        <w:pStyle w:val="Article1annexe"/>
        <w:numPr>
          <w:ilvl w:val="0"/>
          <w:numId w:val="2"/>
        </w:numPr>
        <w:rPr>
          <w:b w:val="0"/>
          <w:bCs/>
        </w:rPr>
      </w:pPr>
      <w:r>
        <w:rPr>
          <w:b w:val="0"/>
          <w:bCs/>
        </w:rPr>
        <w:t>50% du salaire horaires effectif au-delà de la 8</w:t>
      </w:r>
      <w:r w:rsidRPr="00790B73">
        <w:rPr>
          <w:b w:val="0"/>
          <w:bCs/>
          <w:vertAlign w:val="superscript"/>
        </w:rPr>
        <w:t>ème</w:t>
      </w:r>
      <w:r>
        <w:rPr>
          <w:b w:val="0"/>
          <w:bCs/>
        </w:rPr>
        <w:t xml:space="preserve"> heure</w:t>
      </w:r>
    </w:p>
    <w:p w14:paraId="6BEBFF40" w14:textId="77777777" w:rsidP="00147E1E" w:rsidR="00147E1E" w:rsidRDefault="00147E1E" w:rsidRPr="00543B5C">
      <w:pPr>
        <w:pStyle w:val="Article1annexe"/>
        <w:ind w:left="720"/>
        <w:rPr>
          <w:b w:val="0"/>
          <w:bCs/>
        </w:rPr>
      </w:pPr>
    </w:p>
    <w:p w14:paraId="57AC3B93" w14:textId="77777777" w:rsidP="00147E1E" w:rsidR="00147E1E" w:rsidRDefault="00147E1E" w:rsidRPr="00C86053">
      <w:pPr>
        <w:pStyle w:val="Article1annexe"/>
      </w:pPr>
      <w:r>
        <w:t>Article 3.</w:t>
      </w:r>
      <w:r w:rsidRPr="00C86053">
        <w:t xml:space="preserve"> Durée - Date d’effet - </w:t>
      </w:r>
    </w:p>
    <w:p w14:paraId="05766407" w14:textId="77777777" w:rsidP="00147E1E" w:rsidR="00147E1E" w:rsidRDefault="00147E1E" w:rsidRPr="00101975">
      <w:pPr>
        <w:pStyle w:val="normalespaceavant6"/>
        <w:rPr>
          <w:bCs/>
        </w:rPr>
      </w:pPr>
      <w:r w:rsidRPr="00101975">
        <w:rPr>
          <w:bCs/>
        </w:rPr>
        <w:t>Le présent accord est conclu pour une durée interminée</w:t>
      </w:r>
      <w:r>
        <w:rPr>
          <w:bCs/>
        </w:rPr>
        <w:t>. Il entrera en vigueur à compter du 01 janvier 2021.</w:t>
      </w:r>
    </w:p>
    <w:p w14:paraId="29E80A0E" w14:textId="77777777" w:rsidP="00147E1E" w:rsidR="00147E1E" w:rsidRDefault="00147E1E">
      <w:pPr>
        <w:pStyle w:val="normalespaceavant6"/>
        <w:spacing w:before="80"/>
      </w:pPr>
    </w:p>
    <w:p w14:paraId="45D686B0" w14:textId="77777777" w:rsidP="00147E1E" w:rsidR="00147E1E" w:rsidRDefault="00147E1E">
      <w:pPr>
        <w:pStyle w:val="Article1annexe"/>
      </w:pPr>
      <w:r>
        <w:t xml:space="preserve">Article 4. Suivi de l’accord </w:t>
      </w:r>
    </w:p>
    <w:p w14:paraId="51F9F257" w14:textId="77777777" w:rsidP="00147E1E" w:rsidR="00147E1E" w:rsidRDefault="00147E1E">
      <w:pPr>
        <w:pStyle w:val="normalespaceavant6"/>
        <w:spacing w:before="80"/>
      </w:pPr>
      <w:r>
        <w:t xml:space="preserve">Les parties signataires du présent accord se réuniront chaque année pour faire un bilan de l’application de cet accord. </w:t>
      </w:r>
    </w:p>
    <w:p w14:paraId="7CD2DCBA" w14:textId="77777777" w:rsidP="00147E1E" w:rsidR="00147E1E" w:rsidRDefault="00147E1E">
      <w:pPr>
        <w:pStyle w:val="normalespaceavant6"/>
        <w:spacing w:before="80"/>
      </w:pPr>
    </w:p>
    <w:p w14:paraId="406AC5B4" w14:textId="77777777" w:rsidP="00147E1E" w:rsidR="00147E1E" w:rsidRDefault="00147E1E">
      <w:pPr>
        <w:pStyle w:val="Article1annexe"/>
      </w:pPr>
      <w:r>
        <w:t>Article 5. Formalité, dépôt et publicité de l’accord</w:t>
      </w:r>
    </w:p>
    <w:p w14:paraId="5B2F673A" w14:textId="77777777" w:rsidP="00147E1E" w:rsidR="00147E1E" w:rsidRDefault="00147E1E">
      <w:pPr>
        <w:pStyle w:val="Article1annexe"/>
        <w:rPr>
          <w:b w:val="0"/>
          <w:bCs/>
        </w:rPr>
      </w:pPr>
      <w:r w:rsidRPr="005B05A1">
        <w:rPr>
          <w:b w:val="0"/>
          <w:bCs/>
        </w:rPr>
        <w:t>Le présent accord sera notifié à chacune des organisations syndicale</w:t>
      </w:r>
      <w:r>
        <w:rPr>
          <w:b w:val="0"/>
          <w:bCs/>
        </w:rPr>
        <w:t>s. Le présent accord sera déposé en ligne sur le site du ministère du Travail (</w:t>
      </w:r>
      <w:hyperlink r:id="rId11" w:history="1">
        <w:r w:rsidRPr="002870E0">
          <w:rPr>
            <w:rStyle w:val="Lienhypertexte"/>
            <w:b w:val="0"/>
            <w:bCs/>
          </w:rPr>
          <w:t>https://www.teleaccords.travail-emploi.gouv.fr/portailTeleprocedures/</w:t>
        </w:r>
      </w:hyperlink>
      <w:r>
        <w:rPr>
          <w:b w:val="0"/>
          <w:bCs/>
        </w:rPr>
        <w:t xml:space="preserve">) par l’entreprise ou la société et remis au secrétaire- greffe du conseil de prud’hommes de Créteil. </w:t>
      </w:r>
    </w:p>
    <w:p w14:paraId="4497F7EF" w14:textId="77777777" w:rsidP="00147E1E" w:rsidR="00147E1E" w:rsidRDefault="00147E1E" w:rsidRPr="00AE203E">
      <w:pPr>
        <w:pStyle w:val="Article1annexe"/>
        <w:rPr>
          <w:b w:val="0"/>
          <w:bCs/>
        </w:rPr>
      </w:pPr>
      <w:r>
        <w:rPr>
          <w:b w:val="0"/>
          <w:bCs/>
        </w:rPr>
        <w:t xml:space="preserve">Il sera en outre publié par l’Administration sur le site de Légifrance dans son intégralité. </w:t>
      </w:r>
    </w:p>
    <w:p w14:paraId="150F59D4" w14:textId="77777777" w:rsidP="00147E1E" w:rsidR="00147E1E" w:rsidRDefault="00147E1E" w:rsidRPr="00B42FAE">
      <w:pPr>
        <w:pStyle w:val="Article1annexe"/>
        <w:rPr>
          <w:b w:val="0"/>
        </w:rPr>
      </w:pPr>
      <w:r w:rsidRPr="00B42FAE">
        <w:rPr>
          <w:b w:val="0"/>
        </w:rPr>
        <w:t xml:space="preserve">Article 6. Révision et dénonciation de l’accord </w:t>
      </w:r>
    </w:p>
    <w:p w14:paraId="08F5D0DE" w14:textId="77777777" w:rsidP="00147E1E" w:rsidR="00147E1E" w:rsidRDefault="00147E1E" w:rsidRPr="00B42FAE">
      <w:pPr>
        <w:tabs>
          <w:tab w:pos="0" w:val="left"/>
          <w:tab w:pos="543" w:val="left"/>
          <w:tab w:pos="826" w:val="left"/>
        </w:tabs>
        <w:rPr>
          <w:rFonts w:ascii="Times New Roman" w:cs="Times New Roman" w:eastAsia="Times New Roman" w:hAnsi="Times New Roman"/>
          <w:szCs w:val="20"/>
          <w:lang w:eastAsia="fr-FR"/>
        </w:rPr>
      </w:pPr>
      <w:r w:rsidRPr="00B42FAE">
        <w:rPr>
          <w:rFonts w:ascii="Times New Roman" w:cs="Times New Roman" w:eastAsia="Times New Roman" w:hAnsi="Times New Roman"/>
          <w:szCs w:val="20"/>
          <w:lang w:eastAsia="fr-FR"/>
        </w:rPr>
        <w:t>Conformément à l’article L 2222-5 du code du travail, le présent accord pourra également être entièrement ou partiellement dénoncé par l’une ou l’autre des parties, en respectant un préavis de 3</w:t>
      </w:r>
      <w:r>
        <w:rPr>
          <w:rFonts w:ascii="Times New Roman" w:cs="Times New Roman" w:eastAsia="Times New Roman" w:hAnsi="Times New Roman"/>
          <w:szCs w:val="20"/>
          <w:lang w:eastAsia="fr-FR"/>
        </w:rPr>
        <w:t xml:space="preserve"> </w:t>
      </w:r>
      <w:r w:rsidRPr="00B42FAE">
        <w:rPr>
          <w:rFonts w:ascii="Times New Roman" w:cs="Times New Roman" w:eastAsia="Times New Roman" w:hAnsi="Times New Roman"/>
          <w:szCs w:val="20"/>
          <w:lang w:eastAsia="fr-FR"/>
        </w:rPr>
        <w:t xml:space="preserve">mois, dans les conditions prévues par la loi. </w:t>
      </w:r>
    </w:p>
    <w:p w14:paraId="595A86A0" w14:textId="77777777" w:rsidP="00147E1E" w:rsidR="00147E1E" w:rsidRDefault="00147E1E" w:rsidRPr="00B42FAE">
      <w:pPr>
        <w:tabs>
          <w:tab w:pos="0" w:val="left"/>
          <w:tab w:pos="543" w:val="left"/>
          <w:tab w:pos="826" w:val="left"/>
        </w:tabs>
        <w:rPr>
          <w:rFonts w:ascii="Times New Roman" w:cs="Times New Roman" w:eastAsia="Times New Roman" w:hAnsi="Times New Roman"/>
          <w:szCs w:val="20"/>
          <w:lang w:eastAsia="fr-FR"/>
        </w:rPr>
      </w:pPr>
    </w:p>
    <w:p w14:paraId="00EB87E3" w14:textId="35AC5F35" w:rsidP="00147E1E" w:rsidR="00147E1E" w:rsidRDefault="00147E1E" w:rsidRPr="00B42FAE">
      <w:pPr>
        <w:tabs>
          <w:tab w:pos="0" w:val="left"/>
          <w:tab w:pos="543" w:val="left"/>
          <w:tab w:pos="826" w:val="left"/>
        </w:tabs>
        <w:rPr>
          <w:rFonts w:ascii="Times New Roman" w:cs="Times New Roman" w:eastAsia="Times New Roman" w:hAnsi="Times New Roman"/>
          <w:szCs w:val="20"/>
          <w:lang w:eastAsia="fr-FR"/>
        </w:rPr>
      </w:pPr>
      <w:r w:rsidRPr="00B42FAE">
        <w:rPr>
          <w:rFonts w:ascii="Times New Roman" w:cs="Times New Roman" w:eastAsia="Times New Roman" w:hAnsi="Times New Roman"/>
          <w:szCs w:val="20"/>
          <w:lang w:eastAsia="fr-FR"/>
        </w:rPr>
        <w:t xml:space="preserve">Fait le </w:t>
      </w:r>
      <w:r w:rsidR="00C002E3">
        <w:rPr>
          <w:rFonts w:ascii="Times New Roman" w:cs="Times New Roman" w:eastAsia="Times New Roman" w:hAnsi="Times New Roman"/>
          <w:szCs w:val="20"/>
          <w:lang w:eastAsia="fr-FR"/>
        </w:rPr>
        <w:t>24</w:t>
      </w:r>
      <w:r>
        <w:rPr>
          <w:rFonts w:ascii="Times New Roman" w:cs="Times New Roman" w:eastAsia="Times New Roman" w:hAnsi="Times New Roman"/>
          <w:szCs w:val="20"/>
          <w:lang w:eastAsia="fr-FR"/>
        </w:rPr>
        <w:t xml:space="preserve"> novembre 2020 </w:t>
      </w:r>
      <w:r w:rsidRPr="00B42FAE">
        <w:rPr>
          <w:rFonts w:ascii="Times New Roman" w:cs="Times New Roman" w:eastAsia="Times New Roman" w:hAnsi="Times New Roman"/>
          <w:szCs w:val="20"/>
          <w:lang w:eastAsia="fr-FR"/>
        </w:rPr>
        <w:t xml:space="preserve">à Alfortville en </w:t>
      </w:r>
      <w:r>
        <w:rPr>
          <w:rFonts w:ascii="Times New Roman" w:cs="Times New Roman" w:eastAsia="Times New Roman" w:hAnsi="Times New Roman"/>
          <w:szCs w:val="20"/>
          <w:lang w:eastAsia="fr-FR"/>
        </w:rPr>
        <w:t xml:space="preserve">3 </w:t>
      </w:r>
      <w:r w:rsidRPr="00B42FAE">
        <w:rPr>
          <w:rFonts w:ascii="Times New Roman" w:cs="Times New Roman" w:eastAsia="Times New Roman" w:hAnsi="Times New Roman"/>
          <w:szCs w:val="20"/>
          <w:lang w:eastAsia="fr-FR"/>
        </w:rPr>
        <w:t xml:space="preserve">exemplaires. </w:t>
      </w:r>
    </w:p>
    <w:p w14:paraId="66C8C82F" w14:textId="2B01EB91" w:rsidP="00147E1E" w:rsidR="00147E1E" w:rsidRDefault="00147E1E">
      <w:pPr>
        <w:pStyle w:val="normalespaceavant6"/>
      </w:pPr>
      <w:r>
        <w:t>Un exemplaire sera adressé au</w:t>
      </w:r>
      <w:r w:rsidR="000147F9">
        <w:t>x</w:t>
      </w:r>
      <w:r>
        <w:t xml:space="preserve"> greffe</w:t>
      </w:r>
      <w:r w:rsidR="000147F9">
        <w:t>s</w:t>
      </w:r>
      <w:r>
        <w:t xml:space="preserve"> du Conseil des Prud’hommes de Créteil. </w:t>
      </w:r>
    </w:p>
    <w:p w14:paraId="3FB4A02C" w14:textId="77777777" w:rsidP="00147E1E" w:rsidR="00147E1E" w:rsidRDefault="00147E1E" w:rsidRPr="00B42FAE">
      <w:pPr>
        <w:tabs>
          <w:tab w:pos="0" w:val="left"/>
          <w:tab w:pos="543" w:val="left"/>
          <w:tab w:pos="826" w:val="left"/>
        </w:tabs>
        <w:rPr>
          <w:rFonts w:ascii="Times New Roman" w:cs="Times New Roman" w:eastAsia="Times New Roman" w:hAnsi="Times New Roman"/>
          <w:szCs w:val="20"/>
          <w:lang w:eastAsia="fr-FR"/>
        </w:rPr>
      </w:pPr>
    </w:p>
    <w:p w14:paraId="0F7188E9" w14:textId="77777777" w:rsidP="00147E1E" w:rsidR="00147E1E" w:rsidRDefault="00147E1E" w:rsidRPr="00295300">
      <w:pPr>
        <w:pStyle w:val="normalespaceavant6"/>
      </w:pPr>
      <w:r>
        <w:t>Mention de cet accord figurera sur le tableau d’affichage de la direction et une copie sera remise aux représentants du personnel.</w:t>
      </w:r>
    </w:p>
    <w:tbl>
      <w:tblPr>
        <w:tblpPr w:horzAnchor="margin" w:leftFromText="141" w:rightFromText="141" w:tblpY="7861" w:vertAnchor="page"/>
        <w:tblW w:type="dxa" w:w="8530"/>
        <w:tblLayout w:type="fixed"/>
        <w:tblCellMar>
          <w:left w:type="dxa" w:w="70"/>
          <w:right w:type="dxa" w:w="70"/>
        </w:tblCellMar>
        <w:tblLook w:firstColumn="0" w:firstRow="0" w:lastColumn="0" w:lastRow="0" w:noHBand="0" w:noVBand="0" w:val="0000"/>
      </w:tblPr>
      <w:tblGrid>
        <w:gridCol w:w="4593"/>
        <w:gridCol w:w="3937"/>
      </w:tblGrid>
      <w:tr w14:paraId="76B20AD6" w14:textId="77777777" w:rsidR="00147E1E" w:rsidRPr="00C86053" w:rsidTr="00147E1E">
        <w:tc>
          <w:tcPr>
            <w:tcW w:type="dxa" w:w="4593"/>
          </w:tcPr>
          <w:p w14:paraId="1C9A8B09" w14:textId="69A4E2AE" w:rsidP="00147E1E" w:rsidR="00147E1E" w:rsidRDefault="00147E1E" w:rsidRPr="00FF034A">
            <w:pPr>
              <w:tabs>
                <w:tab w:pos="0" w:val="left"/>
                <w:tab w:pos="543" w:val="left"/>
                <w:tab w:pos="826" w:val="left"/>
              </w:tabs>
              <w:rPr>
                <w:b/>
              </w:rPr>
            </w:pPr>
            <w:r w:rsidRPr="00FF034A">
              <w:rPr>
                <w:b/>
              </w:rPr>
              <w:t xml:space="preserve">Pour </w:t>
            </w:r>
            <w:r>
              <w:rPr>
                <w:b/>
              </w:rPr>
              <w:t>l’entreprise Guinier Génie Climatique</w:t>
            </w:r>
          </w:p>
          <w:p w14:paraId="4C549E45" w14:textId="2158EF11" w:rsidP="00FA64CA" w:rsidR="00147E1E" w:rsidRDefault="00147E1E" w:rsidRPr="00FF034A">
            <w:pPr>
              <w:tabs>
                <w:tab w:pos="0" w:val="left"/>
                <w:tab w:pos="543" w:val="left"/>
                <w:tab w:pos="826" w:val="left"/>
              </w:tabs>
              <w:rPr>
                <w:b/>
              </w:rPr>
            </w:pPr>
            <w:r>
              <w:rPr>
                <w:b/>
              </w:rPr>
              <w:t xml:space="preserve">représentée </w:t>
            </w:r>
            <w:r w:rsidR="00FA64CA">
              <w:t xml:space="preserve"> XXXXXXXXXXXXXXX</w:t>
            </w:r>
            <w:r w:rsidR="00FA64CA" w:rsidRPr="00C86053">
              <w:t xml:space="preserve"> </w:t>
            </w:r>
          </w:p>
        </w:tc>
        <w:tc>
          <w:tcPr>
            <w:tcW w:type="dxa" w:w="3937"/>
          </w:tcPr>
          <w:p w14:paraId="654888D1" w14:textId="77777777" w:rsidP="00147E1E" w:rsidR="00147E1E" w:rsidRDefault="00147E1E">
            <w:pPr>
              <w:tabs>
                <w:tab w:pos="0" w:val="left"/>
                <w:tab w:pos="543" w:val="left"/>
                <w:tab w:pos="826" w:val="left"/>
              </w:tabs>
              <w:rPr>
                <w:b/>
              </w:rPr>
            </w:pPr>
            <w:r>
              <w:rPr>
                <w:b/>
              </w:rPr>
              <w:t xml:space="preserve">Pour le CSE, </w:t>
            </w:r>
          </w:p>
          <w:p w14:paraId="2AB5AC45" w14:textId="2158B6EE" w:rsidP="00147E1E" w:rsidR="00147E1E" w:rsidRDefault="00147E1E" w:rsidRPr="00B52214">
            <w:pPr>
              <w:tabs>
                <w:tab w:pos="0" w:val="left"/>
                <w:tab w:pos="543" w:val="left"/>
                <w:tab w:pos="826" w:val="left"/>
              </w:tabs>
              <w:rPr>
                <w:b/>
              </w:rPr>
            </w:pPr>
            <w:r>
              <w:rPr>
                <w:b/>
              </w:rPr>
              <w:t xml:space="preserve">représenté par </w:t>
            </w:r>
            <w:r w:rsidR="00FA64CA">
              <w:t xml:space="preserve"> XXXXXXXXXXXXXXX</w:t>
            </w:r>
          </w:p>
          <w:p w14:paraId="169E8D97" w14:textId="77777777" w:rsidP="00147E1E" w:rsidR="00147E1E" w:rsidRDefault="00147E1E" w:rsidRPr="006463DA">
            <w:pPr>
              <w:tabs>
                <w:tab w:pos="0" w:val="left"/>
                <w:tab w:pos="543" w:val="left"/>
                <w:tab w:pos="826" w:val="left"/>
              </w:tabs>
            </w:pPr>
          </w:p>
          <w:p w14:paraId="5BAA8803" w14:textId="77777777" w:rsidP="00147E1E" w:rsidR="00147E1E" w:rsidRDefault="00147E1E" w:rsidRPr="00D41BC5">
            <w:pPr>
              <w:tabs>
                <w:tab w:pos="0" w:val="left"/>
                <w:tab w:pos="543" w:val="left"/>
                <w:tab w:pos="826" w:val="left"/>
              </w:tabs>
              <w:rPr>
                <w:b/>
                <w:highlight w:val="cyan"/>
              </w:rPr>
            </w:pPr>
          </w:p>
          <w:p w14:paraId="3830B0BC" w14:textId="77777777" w:rsidP="00147E1E" w:rsidR="00147E1E" w:rsidRDefault="00147E1E" w:rsidRPr="00D41BC5">
            <w:pPr>
              <w:tabs>
                <w:tab w:pos="0" w:val="left"/>
                <w:tab w:pos="543" w:val="left"/>
                <w:tab w:pos="826" w:val="left"/>
              </w:tabs>
              <w:rPr>
                <w:b/>
                <w:highlight w:val="cyan"/>
              </w:rPr>
            </w:pPr>
          </w:p>
          <w:p w14:paraId="3EF8E760" w14:textId="77777777" w:rsidP="00147E1E" w:rsidR="00147E1E" w:rsidRDefault="00147E1E">
            <w:pPr>
              <w:tabs>
                <w:tab w:pos="0" w:val="left"/>
                <w:tab w:pos="543" w:val="left"/>
                <w:tab w:pos="826" w:val="left"/>
              </w:tabs>
              <w:rPr>
                <w:b/>
              </w:rPr>
            </w:pPr>
          </w:p>
          <w:p w14:paraId="6DD127DD" w14:textId="77777777" w:rsidP="00147E1E" w:rsidR="00147E1E" w:rsidRDefault="00147E1E">
            <w:pPr>
              <w:tabs>
                <w:tab w:pos="0" w:val="left"/>
                <w:tab w:pos="543" w:val="left"/>
                <w:tab w:pos="826" w:val="left"/>
              </w:tabs>
              <w:rPr>
                <w:b/>
              </w:rPr>
            </w:pPr>
          </w:p>
          <w:p w14:paraId="0BF328E6" w14:textId="77777777" w:rsidP="00147E1E" w:rsidR="00147E1E" w:rsidRDefault="00147E1E">
            <w:pPr>
              <w:tabs>
                <w:tab w:pos="0" w:val="left"/>
                <w:tab w:pos="543" w:val="left"/>
                <w:tab w:pos="826" w:val="left"/>
              </w:tabs>
              <w:rPr>
                <w:b/>
              </w:rPr>
            </w:pPr>
          </w:p>
          <w:p w14:paraId="0A74AA58" w14:textId="77777777" w:rsidP="00147E1E" w:rsidR="00147E1E" w:rsidRDefault="00147E1E">
            <w:pPr>
              <w:tabs>
                <w:tab w:pos="0" w:val="left"/>
                <w:tab w:pos="543" w:val="left"/>
                <w:tab w:pos="826" w:val="left"/>
              </w:tabs>
              <w:rPr>
                <w:b/>
              </w:rPr>
            </w:pPr>
          </w:p>
          <w:p w14:paraId="38B79A95" w14:textId="77777777" w:rsidP="00147E1E" w:rsidR="00147E1E" w:rsidRDefault="00147E1E" w:rsidRPr="00C86053">
            <w:pPr>
              <w:tabs>
                <w:tab w:pos="0" w:val="left"/>
                <w:tab w:pos="543" w:val="left"/>
                <w:tab w:pos="826" w:val="left"/>
              </w:tabs>
              <w:rPr>
                <w:b/>
              </w:rPr>
            </w:pPr>
          </w:p>
        </w:tc>
      </w:tr>
    </w:tbl>
    <w:p w14:paraId="5FDFFCD6" w14:textId="77777777" w:rsidP="00147E1E" w:rsidR="00952119" w:rsidRDefault="00952119" w:rsidRPr="00952119">
      <w:pPr>
        <w:rPr>
          <w:sz w:val="30"/>
          <w:szCs w:val="30"/>
        </w:rPr>
      </w:pPr>
    </w:p>
    <w:sectPr w:rsidR="00952119" w:rsidRPr="00952119">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80D965" w14:textId="77777777" w:rsidR="00364A2F" w:rsidRDefault="00364A2F" w:rsidP="00952119">
      <w:r>
        <w:separator/>
      </w:r>
    </w:p>
  </w:endnote>
  <w:endnote w:type="continuationSeparator" w:id="0">
    <w:p w14:paraId="0CFBF59B" w14:textId="77777777" w:rsidR="00364A2F" w:rsidRDefault="00364A2F" w:rsidP="00952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34059741" w14:textId="77777777" w:rsidP="00952119" w:rsidR="00364A2F" w:rsidRDefault="00364A2F">
      <w:r>
        <w:separator/>
      </w:r>
    </w:p>
  </w:footnote>
  <w:footnote w:id="0" w:type="continuationSeparator">
    <w:p w14:paraId="6A432FDC" w14:textId="77777777" w:rsidP="00952119" w:rsidR="00364A2F" w:rsidRDefault="00364A2F">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383C257A"/>
    <w:multiLevelType w:val="hybridMultilevel"/>
    <w:tmpl w:val="52064714"/>
    <w:lvl w:ilvl="0" w:tplc="4D123F86">
      <w:start w:val="1"/>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5A1F15C1"/>
    <w:multiLevelType w:val="hybridMultilevel"/>
    <w:tmpl w:val="6510A844"/>
    <w:lvl w:ilvl="0" w:tplc="2D080846">
      <w:numFmt w:val="bullet"/>
      <w:lvlText w:val="-"/>
      <w:lvlJc w:val="left"/>
      <w:pPr>
        <w:tabs>
          <w:tab w:pos="360" w:val="num"/>
        </w:tabs>
        <w:ind w:firstLine="207" w:left="360"/>
      </w:pPr>
      <w:rPr>
        <w:rFonts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num w:numId="1">
    <w:abstractNumId w:val="1"/>
  </w:num>
  <w:num w:numId="2">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2119"/>
    <w:rsid w:val="000147F9"/>
    <w:rsid w:val="00101975"/>
    <w:rsid w:val="00113B25"/>
    <w:rsid w:val="00147E1E"/>
    <w:rsid w:val="001552EA"/>
    <w:rsid w:val="00213B39"/>
    <w:rsid w:val="00295300"/>
    <w:rsid w:val="002C32DC"/>
    <w:rsid w:val="00364A2F"/>
    <w:rsid w:val="003F1F2A"/>
    <w:rsid w:val="00457522"/>
    <w:rsid w:val="00535A63"/>
    <w:rsid w:val="00543B5C"/>
    <w:rsid w:val="005A463C"/>
    <w:rsid w:val="005B05A1"/>
    <w:rsid w:val="006D60F7"/>
    <w:rsid w:val="006F5BCA"/>
    <w:rsid w:val="00790B73"/>
    <w:rsid w:val="00952119"/>
    <w:rsid w:val="00AE203E"/>
    <w:rsid w:val="00AE57AA"/>
    <w:rsid w:val="00AF7E3A"/>
    <w:rsid w:val="00B52214"/>
    <w:rsid w:val="00BA2954"/>
    <w:rsid w:val="00C002E3"/>
    <w:rsid w:val="00C70998"/>
    <w:rsid w:val="00DB5171"/>
    <w:rsid w:val="00E55949"/>
    <w:rsid w:val="00FA64CA"/>
    <w:rsid w:val="00FE19DF"/>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13B81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1552EA"/>
    <w:pPr>
      <w:spacing w:after="0" w:line="240" w:lineRule="auto"/>
    </w:pPr>
    <w:rPr>
      <w:rFonts w:ascii="Calibri" w:cs="Calibri" w:hAnsi="Calibri"/>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Notedebasdepage" w:type="paragraph">
    <w:name w:val="footnote text"/>
    <w:basedOn w:val="Normal"/>
    <w:link w:val="NotedebasdepageCar"/>
    <w:uiPriority w:val="99"/>
    <w:semiHidden/>
    <w:rsid w:val="00952119"/>
    <w:pPr>
      <w:overflowPunct w:val="0"/>
      <w:autoSpaceDE w:val="0"/>
      <w:autoSpaceDN w:val="0"/>
      <w:adjustRightInd w:val="0"/>
      <w:ind w:hanging="144" w:left="144"/>
      <w:jc w:val="both"/>
      <w:textAlignment w:val="baseline"/>
    </w:pPr>
    <w:rPr>
      <w:rFonts w:ascii="Times New Roman" w:cs="Times New Roman" w:eastAsia="Times New Roman" w:hAnsi="Times New Roman"/>
      <w:i/>
      <w:sz w:val="20"/>
      <w:szCs w:val="20"/>
      <w:lang w:eastAsia="fr-FR"/>
    </w:rPr>
  </w:style>
  <w:style w:customStyle="1" w:styleId="NotedebasdepageCar" w:type="character">
    <w:name w:val="Note de bas de page Car"/>
    <w:basedOn w:val="Policepardfaut"/>
    <w:link w:val="Notedebasdepage"/>
    <w:uiPriority w:val="99"/>
    <w:semiHidden/>
    <w:rsid w:val="00952119"/>
    <w:rPr>
      <w:rFonts w:ascii="Times New Roman" w:cs="Times New Roman" w:eastAsia="Times New Roman" w:hAnsi="Times New Roman"/>
      <w:i/>
      <w:sz w:val="20"/>
      <w:szCs w:val="20"/>
      <w:lang w:eastAsia="fr-FR"/>
    </w:rPr>
  </w:style>
  <w:style w:styleId="Appelnotedebasdep" w:type="character">
    <w:name w:val="footnote reference"/>
    <w:basedOn w:val="Policepardfaut"/>
    <w:uiPriority w:val="99"/>
    <w:semiHidden/>
    <w:rsid w:val="00952119"/>
    <w:rPr>
      <w:rFonts w:cs="Times New Roman"/>
      <w:vertAlign w:val="superscript"/>
    </w:rPr>
  </w:style>
  <w:style w:customStyle="1" w:styleId="normalcentrtraitgauche" w:type="paragraph">
    <w:name w:val="normal centré trait gauche"/>
    <w:basedOn w:val="Normal"/>
    <w:uiPriority w:val="99"/>
    <w:rsid w:val="00952119"/>
    <w:pPr>
      <w:pBdr>
        <w:left w:color="auto" w:space="4" w:sz="4" w:val="single"/>
      </w:pBdr>
      <w:tabs>
        <w:tab w:pos="284" w:val="left"/>
      </w:tabs>
      <w:overflowPunct w:val="0"/>
      <w:autoSpaceDE w:val="0"/>
      <w:autoSpaceDN w:val="0"/>
      <w:adjustRightInd w:val="0"/>
      <w:spacing w:after="120"/>
      <w:ind w:left="340"/>
      <w:jc w:val="both"/>
      <w:textAlignment w:val="baseline"/>
    </w:pPr>
    <w:rPr>
      <w:rFonts w:ascii="Times New Roman" w:cs="Times New Roman" w:eastAsia="Times New Roman" w:hAnsi="Times New Roman"/>
      <w:i/>
      <w:iCs/>
      <w:szCs w:val="20"/>
      <w:lang w:eastAsia="fr-FR"/>
    </w:rPr>
  </w:style>
  <w:style w:customStyle="1" w:styleId="normalespaceavant6" w:type="paragraph">
    <w:name w:val="normal espace avant 6"/>
    <w:basedOn w:val="Normal"/>
    <w:uiPriority w:val="99"/>
    <w:rsid w:val="00952119"/>
    <w:pPr>
      <w:overflowPunct w:val="0"/>
      <w:autoSpaceDE w:val="0"/>
      <w:autoSpaceDN w:val="0"/>
      <w:adjustRightInd w:val="0"/>
      <w:spacing w:before="120"/>
      <w:jc w:val="both"/>
      <w:textAlignment w:val="baseline"/>
    </w:pPr>
    <w:rPr>
      <w:rFonts w:ascii="Times New Roman" w:cs="Times New Roman" w:eastAsia="Times New Roman" w:hAnsi="Times New Roman"/>
      <w:szCs w:val="20"/>
      <w:lang w:eastAsia="fr-FR"/>
    </w:rPr>
  </w:style>
  <w:style w:customStyle="1" w:styleId="Article1annexe" w:type="paragraph">
    <w:name w:val="Article 1 annexe"/>
    <w:basedOn w:val="Normal"/>
    <w:uiPriority w:val="99"/>
    <w:rsid w:val="00952119"/>
    <w:pPr>
      <w:overflowPunct w:val="0"/>
      <w:autoSpaceDE w:val="0"/>
      <w:autoSpaceDN w:val="0"/>
      <w:adjustRightInd w:val="0"/>
      <w:spacing w:after="240" w:before="240"/>
      <w:jc w:val="both"/>
      <w:textAlignment w:val="baseline"/>
    </w:pPr>
    <w:rPr>
      <w:rFonts w:ascii="Times New Roman" w:cs="Times New Roman" w:eastAsia="Times New Roman" w:hAnsi="Times New Roman"/>
      <w:b/>
      <w:szCs w:val="20"/>
      <w:lang w:eastAsia="fr-FR"/>
    </w:rPr>
  </w:style>
  <w:style w:styleId="Lienhypertexte" w:type="character">
    <w:name w:val="Hyperlink"/>
    <w:basedOn w:val="Policepardfaut"/>
    <w:uiPriority w:val="99"/>
    <w:unhideWhenUsed/>
    <w:rsid w:val="005B05A1"/>
    <w:rPr>
      <w:color w:themeColor="hyperlink" w:val="0563C1"/>
      <w:u w:val="single"/>
    </w:rPr>
  </w:style>
  <w:style w:customStyle="1" w:styleId="UnresolvedMention" w:type="character">
    <w:name w:val="Unresolved Mention"/>
    <w:basedOn w:val="Policepardfaut"/>
    <w:uiPriority w:val="99"/>
    <w:semiHidden/>
    <w:unhideWhenUsed/>
    <w:rsid w:val="005B05A1"/>
    <w:rPr>
      <w:color w:val="605E5C"/>
      <w:shd w:color="auto" w:fill="E1DFDD" w:val="cle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52EA"/>
    <w:pPr>
      <w:spacing w:after="0" w:line="240" w:lineRule="auto"/>
    </w:pPr>
    <w:rPr>
      <w:rFonts w:ascii="Calibri" w:hAnsi="Calibri" w:cs="Calibr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rsid w:val="00952119"/>
    <w:pPr>
      <w:overflowPunct w:val="0"/>
      <w:autoSpaceDE w:val="0"/>
      <w:autoSpaceDN w:val="0"/>
      <w:adjustRightInd w:val="0"/>
      <w:ind w:left="144" w:hanging="144"/>
      <w:jc w:val="both"/>
      <w:textAlignment w:val="baseline"/>
    </w:pPr>
    <w:rPr>
      <w:rFonts w:ascii="Times New Roman" w:eastAsia="Times New Roman" w:hAnsi="Times New Roman" w:cs="Times New Roman"/>
      <w:i/>
      <w:sz w:val="20"/>
      <w:szCs w:val="20"/>
      <w:lang w:eastAsia="fr-FR"/>
    </w:rPr>
  </w:style>
  <w:style w:type="character" w:customStyle="1" w:styleId="NotedebasdepageCar">
    <w:name w:val="Note de bas de page Car"/>
    <w:basedOn w:val="Policepardfaut"/>
    <w:link w:val="Notedebasdepage"/>
    <w:uiPriority w:val="99"/>
    <w:semiHidden/>
    <w:rsid w:val="00952119"/>
    <w:rPr>
      <w:rFonts w:ascii="Times New Roman" w:eastAsia="Times New Roman" w:hAnsi="Times New Roman" w:cs="Times New Roman"/>
      <w:i/>
      <w:sz w:val="20"/>
      <w:szCs w:val="20"/>
      <w:lang w:eastAsia="fr-FR"/>
    </w:rPr>
  </w:style>
  <w:style w:type="character" w:styleId="Appelnotedebasdep">
    <w:name w:val="footnote reference"/>
    <w:basedOn w:val="Policepardfaut"/>
    <w:uiPriority w:val="99"/>
    <w:semiHidden/>
    <w:rsid w:val="00952119"/>
    <w:rPr>
      <w:rFonts w:cs="Times New Roman"/>
      <w:vertAlign w:val="superscript"/>
    </w:rPr>
  </w:style>
  <w:style w:type="paragraph" w:customStyle="1" w:styleId="normalcentrtraitgauche">
    <w:name w:val="normal centré trait gauche"/>
    <w:basedOn w:val="Normal"/>
    <w:uiPriority w:val="99"/>
    <w:rsid w:val="00952119"/>
    <w:pPr>
      <w:pBdr>
        <w:left w:val="single" w:sz="4" w:space="4" w:color="auto"/>
      </w:pBdr>
      <w:tabs>
        <w:tab w:val="left" w:pos="284"/>
      </w:tabs>
      <w:overflowPunct w:val="0"/>
      <w:autoSpaceDE w:val="0"/>
      <w:autoSpaceDN w:val="0"/>
      <w:adjustRightInd w:val="0"/>
      <w:spacing w:after="120"/>
      <w:ind w:left="340"/>
      <w:jc w:val="both"/>
      <w:textAlignment w:val="baseline"/>
    </w:pPr>
    <w:rPr>
      <w:rFonts w:ascii="Times New Roman" w:eastAsia="Times New Roman" w:hAnsi="Times New Roman" w:cs="Times New Roman"/>
      <w:i/>
      <w:iCs/>
      <w:szCs w:val="20"/>
      <w:lang w:eastAsia="fr-FR"/>
    </w:rPr>
  </w:style>
  <w:style w:type="paragraph" w:customStyle="1" w:styleId="normalespaceavant6">
    <w:name w:val="normal espace avant 6"/>
    <w:basedOn w:val="Normal"/>
    <w:uiPriority w:val="99"/>
    <w:rsid w:val="00952119"/>
    <w:pPr>
      <w:overflowPunct w:val="0"/>
      <w:autoSpaceDE w:val="0"/>
      <w:autoSpaceDN w:val="0"/>
      <w:adjustRightInd w:val="0"/>
      <w:spacing w:before="120"/>
      <w:jc w:val="both"/>
      <w:textAlignment w:val="baseline"/>
    </w:pPr>
    <w:rPr>
      <w:rFonts w:ascii="Times New Roman" w:eastAsia="Times New Roman" w:hAnsi="Times New Roman" w:cs="Times New Roman"/>
      <w:szCs w:val="20"/>
      <w:lang w:eastAsia="fr-FR"/>
    </w:rPr>
  </w:style>
  <w:style w:type="paragraph" w:customStyle="1" w:styleId="Article1annexe">
    <w:name w:val="Article 1 annexe"/>
    <w:basedOn w:val="Normal"/>
    <w:uiPriority w:val="99"/>
    <w:rsid w:val="00952119"/>
    <w:pPr>
      <w:overflowPunct w:val="0"/>
      <w:autoSpaceDE w:val="0"/>
      <w:autoSpaceDN w:val="0"/>
      <w:adjustRightInd w:val="0"/>
      <w:spacing w:before="240" w:after="240"/>
      <w:jc w:val="both"/>
      <w:textAlignment w:val="baseline"/>
    </w:pPr>
    <w:rPr>
      <w:rFonts w:ascii="Times New Roman" w:eastAsia="Times New Roman" w:hAnsi="Times New Roman" w:cs="Times New Roman"/>
      <w:b/>
      <w:szCs w:val="20"/>
      <w:lang w:eastAsia="fr-FR"/>
    </w:rPr>
  </w:style>
  <w:style w:type="character" w:styleId="Lienhypertexte">
    <w:name w:val="Hyperlink"/>
    <w:basedOn w:val="Policepardfaut"/>
    <w:uiPriority w:val="99"/>
    <w:unhideWhenUsed/>
    <w:rsid w:val="005B05A1"/>
    <w:rPr>
      <w:color w:val="0563C1" w:themeColor="hyperlink"/>
      <w:u w:val="single"/>
    </w:rPr>
  </w:style>
  <w:style w:type="character" w:customStyle="1" w:styleId="UnresolvedMention">
    <w:name w:val="Unresolved Mention"/>
    <w:basedOn w:val="Policepardfaut"/>
    <w:uiPriority w:val="99"/>
    <w:semiHidden/>
    <w:unhideWhenUsed/>
    <w:rsid w:val="005B0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4745097">
      <w:bodyDiv w:val="1"/>
      <w:marLeft w:val="0"/>
      <w:marRight w:val="0"/>
      <w:marTop w:val="0"/>
      <w:marBottom w:val="0"/>
      <w:divBdr>
        <w:top w:val="none" w:sz="0" w:space="0" w:color="auto"/>
        <w:left w:val="none" w:sz="0" w:space="0" w:color="auto"/>
        <w:bottom w:val="none" w:sz="0" w:space="0" w:color="auto"/>
        <w:right w:val="none" w:sz="0" w:space="0" w:color="auto"/>
      </w:divBdr>
    </w:div>
    <w:div w:id="1601253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ttps://www.teleaccords.travail-emploi.gouv.fr/portailTeleprocedures/" TargetMode="External" Type="http://schemas.openxmlformats.org/officeDocument/2006/relationships/hyperlink"/><Relationship Id="rId12" Target="fontTable.xml" Type="http://schemas.openxmlformats.org/officeDocument/2006/relationships/fontTable"/><Relationship Id="rId13"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tylesWithEffects.xml" Type="http://schemas.microsoft.com/office/2007/relationships/stylesWithEffect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547A6664BEAC4AA3C1769748C1858D" ma:contentTypeVersion="10" ma:contentTypeDescription="Crée un document." ma:contentTypeScope="" ma:versionID="0eebeb17c0ac6f434d50d9b7549e8194">
  <xsd:schema xmlns:xsd="http://www.w3.org/2001/XMLSchema" xmlns:xs="http://www.w3.org/2001/XMLSchema" xmlns:p="http://schemas.microsoft.com/office/2006/metadata/properties" xmlns:ns3="39fa4884-fd60-424c-8a36-2e8a223fce22" xmlns:ns4="37f9713f-d64e-4767-bcdc-af2a25dd83a3" targetNamespace="http://schemas.microsoft.com/office/2006/metadata/properties" ma:root="true" ma:fieldsID="4deed460e5256c248c8dbdab530fcc23" ns3:_="" ns4:_="">
    <xsd:import namespace="39fa4884-fd60-424c-8a36-2e8a223fce22"/>
    <xsd:import namespace="37f9713f-d64e-4767-bcdc-af2a25dd83a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a4884-fd60-424c-8a36-2e8a223fce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f9713f-d64e-4767-bcdc-af2a25dd83a3"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element name="SharingHintHash" ma:index="15"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26921D-BBAB-4D00-89C9-7949FC13E0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fa4884-fd60-424c-8a36-2e8a223fce22"/>
    <ds:schemaRef ds:uri="37f9713f-d64e-4767-bcdc-af2a25dd83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C1E417-73FB-4E35-8CF7-669D041784F4}">
  <ds:schemaRefs>
    <ds:schemaRef ds:uri="http://schemas.microsoft.com/sharepoint/v3/contenttype/forms"/>
  </ds:schemaRefs>
</ds:datastoreItem>
</file>

<file path=customXml/itemProps3.xml><?xml version="1.0" encoding="utf-8"?>
<ds:datastoreItem xmlns:ds="http://schemas.openxmlformats.org/officeDocument/2006/customXml" ds:itemID="{09F1DFB3-416A-490A-90B1-6F6195CE813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505</Words>
  <Characters>2781</Characters>
  <Application>Microsoft Office Word</Application>
  <DocSecurity>0</DocSecurity>
  <Lines>23</Lines>
  <Paragraphs>6</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3280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2022-06-01T10:06:00Z</dcterms:created>
  <dcterms:modified xsi:type="dcterms:W3CDTF">2022-06-01T10:06:00Z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0x0101002B547A6664BEAC4AA3C1769748C1858D</vt:lpwstr>
  </property>
</Properties>
</file>