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3.jpeg" ContentType="image/jpeg"/>
  <Override PartName="/word/media/image12.jpeg" ContentType="image/jpeg"/>
  <Override PartName="/word/media/image11.jpeg" ContentType="image/jpeg"/>
  <Override PartName="/word/media/image1.jpeg" ContentType="image/jpeg"/>
  <Override PartName="/word/media/image2.jpeg" ContentType="image/jpeg"/>
  <Override PartName="/word/media/image3.jpeg" ContentType="image/jpeg"/>
  <Override PartName="/word/media/image4.jpeg" ContentType="image/jpeg"/>
  <Override PartName="/word/media/image10.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64" w:before="0" w:after="0"/>
        <w:ind w:left="10" w:right="101" w:hanging="10"/>
        <w:jc w:val="center"/>
        <w:rPr>
          <w:lang w:val="fr-FR"/>
        </w:rPr>
      </w:pPr>
      <w:r>
        <w:rPr>
          <w:sz w:val="28"/>
          <w:u w:val="single" w:color="000000"/>
          <w:lang w:val="fr-FR"/>
        </w:rPr>
        <w:t>PROTOCOLE D'ACCORD</w:t>
      </w:r>
    </w:p>
    <w:p>
      <w:pPr>
        <w:pStyle w:val="Normal"/>
        <w:spacing w:lineRule="auto" w:line="264" w:before="0" w:after="367"/>
        <w:ind w:left="10" w:right="101" w:hanging="10"/>
        <w:jc w:val="center"/>
        <w:rPr>
          <w:lang w:val="fr-FR"/>
        </w:rPr>
      </w:pPr>
      <w:r>
        <w:rPr>
          <w:sz w:val="28"/>
          <w:u w:val="single" w:color="000000"/>
          <w:lang w:val="fr-FR"/>
        </w:rPr>
        <w:t>SUR LES NEGOCIATIONS ANNUELLES 2022</w:t>
      </w:r>
    </w:p>
    <w:p>
      <w:pPr>
        <w:pStyle w:val="Normal"/>
        <w:spacing w:before="0" w:after="218"/>
        <w:ind w:left="24" w:hanging="10"/>
        <w:rPr>
          <w:sz w:val="28"/>
        </w:rPr>
      </w:pPr>
      <w:r>
        <w:rPr>
          <w:sz w:val="28"/>
        </w:rPr>
        <w:t>Entre les soussignés</w:t>
      </w:r>
    </w:p>
    <w:p>
      <w:pPr>
        <w:pStyle w:val="Normal"/>
        <w:numPr>
          <w:ilvl w:val="0"/>
          <w:numId w:val="2"/>
        </w:numPr>
        <w:spacing w:lineRule="auto" w:line="216" w:before="0" w:after="848"/>
        <w:ind w:left="752" w:right="248" w:hanging="367"/>
        <w:rPr>
          <w:lang w:val="fr-FR"/>
        </w:rPr>
      </w:pPr>
      <w:r>
        <w:rPr>
          <w:sz w:val="24"/>
          <w:lang w:val="fr-FR"/>
        </w:rPr>
        <w:t>La société S.A.S. BORGO DISTRIBUTION, dont le siège social est sis Centre Commercial Santa Devota, RN 93, 20290 BORGO, représentée par Mr.</w:t>
        <w:tab/>
        <w:t>en sa qualité de Président, d'une part,</w:t>
      </w:r>
    </w:p>
    <w:p>
      <w:pPr>
        <w:pStyle w:val="Normal"/>
        <w:numPr>
          <w:ilvl w:val="0"/>
          <w:numId w:val="2"/>
        </w:numPr>
        <w:spacing w:lineRule="auto" w:line="223" w:before="0" w:after="254"/>
        <w:ind w:left="752" w:right="248" w:hanging="367"/>
        <w:rPr>
          <w:lang w:val="fr-FR"/>
        </w:rPr>
      </w:pPr>
      <w:r>
        <w:rPr>
          <w:sz w:val="24"/>
          <w:lang w:val="fr-FR"/>
        </w:rPr>
        <w:t>Le syndicat S.T.C., représenté par Mme</w:t>
      </w:r>
      <w:r>
        <w:rPr>
          <w:lang w:val="en-GB" w:eastAsia="en-GB"/>
        </w:rPr>
        <w:drawing>
          <wp:inline distT="0" distB="0" distL="0" distR="0">
            <wp:extent cx="443230" cy="22860"/>
            <wp:effectExtent l="0" t="0" r="0" b="0"/>
            <wp:docPr id="1" name="Picture 300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0083" descr=""/>
                    <pic:cNvPicPr>
                      <a:picLocks noChangeAspect="1" noChangeArrowheads="1"/>
                    </pic:cNvPicPr>
                  </pic:nvPicPr>
                  <pic:blipFill>
                    <a:blip r:embed="rId2"/>
                    <a:srcRect l="-38" t="-757" r="-38" b="-757"/>
                    <a:stretch>
                      <a:fillRect/>
                    </a:stretch>
                  </pic:blipFill>
                  <pic:spPr bwMode="auto">
                    <a:xfrm>
                      <a:off x="0" y="0"/>
                      <a:ext cx="443230" cy="22860"/>
                    </a:xfrm>
                    <a:prstGeom prst="rect">
                      <a:avLst/>
                    </a:prstGeom>
                  </pic:spPr>
                </pic:pic>
              </a:graphicData>
            </a:graphic>
          </wp:inline>
        </w:drawing>
      </w:r>
      <w:r>
        <w:rPr>
          <w:sz w:val="24"/>
          <w:lang w:val="fr-FR"/>
        </w:rPr>
        <w:t>en sa qualité de déléguée syndicale, d'autre part,</w:t>
      </w:r>
    </w:p>
    <w:p>
      <w:pPr>
        <w:pStyle w:val="Normal"/>
        <w:spacing w:before="0" w:after="21"/>
        <w:ind w:left="24" w:hanging="10"/>
        <w:rPr>
          <w:lang w:val="fr-FR"/>
        </w:rPr>
      </w:pPr>
      <w:r>
        <w:rPr>
          <w:sz w:val="28"/>
          <w:lang w:val="fr-FR"/>
        </w:rPr>
        <w:t>Il a été convenu ce qui suit.</w:t>
      </w:r>
    </w:p>
    <w:p>
      <w:pPr>
        <w:pStyle w:val="Normal"/>
        <w:spacing w:before="0" w:after="417"/>
        <w:ind w:right="72" w:hanging="0"/>
        <w:jc w:val="center"/>
        <w:rPr>
          <w:lang w:val="fr-FR"/>
        </w:rPr>
      </w:pPr>
      <w:r>
        <w:rPr>
          <w:sz w:val="28"/>
          <w:lang w:val="fr-FR"/>
        </w:rPr>
        <w:t>PRÉAMBULE</w:t>
      </w:r>
    </w:p>
    <w:p>
      <w:pPr>
        <w:pStyle w:val="Normal"/>
        <w:spacing w:lineRule="auto" w:line="223" w:before="0" w:after="213"/>
        <w:ind w:left="31" w:right="107" w:hanging="3"/>
        <w:jc w:val="both"/>
        <w:rPr>
          <w:lang w:val="fr-FR"/>
        </w:rPr>
      </w:pPr>
      <w:r>
        <w:rPr>
          <w:sz w:val="24"/>
          <w:lang w:val="fr-FR"/>
        </w:rPr>
        <w:t>La négociation annuelle obligatoire prévue par les articles L 2242-1 ainsi que L 2242-8 et suivants du Code du travail a fait l'objet de trois réunions entre les organisations syndicales et le représentant de la Direction de l'entreprise, les 23 Mars, le 13 et le 22 avril 2022.</w:t>
      </w:r>
    </w:p>
    <w:p>
      <w:pPr>
        <w:pStyle w:val="Normal"/>
        <w:spacing w:lineRule="auto" w:line="223" w:before="0" w:after="423"/>
        <w:ind w:left="31" w:right="107" w:hanging="3"/>
        <w:jc w:val="both"/>
        <w:rPr>
          <w:lang w:val="fr-FR"/>
        </w:rPr>
      </w:pPr>
      <w:r>
        <w:rPr>
          <w:sz w:val="24"/>
          <w:lang w:val="fr-FR"/>
        </w:rPr>
        <w:t>A l'issue de ces négociations, il a été convenu ce qui suit.</w:t>
      </w:r>
    </w:p>
    <w:p>
      <w:pPr>
        <w:pStyle w:val="Normal"/>
        <w:spacing w:before="0" w:after="0"/>
        <w:ind w:left="24" w:hanging="3"/>
        <w:rPr>
          <w:lang w:val="fr-FR"/>
        </w:rPr>
      </w:pPr>
      <w:r>
        <w:rPr>
          <w:sz w:val="26"/>
          <w:lang w:val="fr-FR"/>
        </w:rPr>
        <w:t>Article préliminaire : dispositions générales</w:t>
      </w:r>
    </w:p>
    <w:p>
      <w:pPr>
        <w:pStyle w:val="Normal"/>
        <w:spacing w:lineRule="auto" w:line="223" w:before="0" w:after="242"/>
        <w:ind w:left="31" w:right="107" w:hanging="3"/>
        <w:jc w:val="both"/>
        <w:rPr>
          <w:lang w:val="fr-FR"/>
        </w:rPr>
      </w:pPr>
      <w:r>
        <w:rPr>
          <w:sz w:val="24"/>
          <w:lang w:val="fr-FR"/>
        </w:rPr>
        <w:t>II est convenu entre les parties de prolonger à droit constant les dispositions des NAO antérieures en les réécrivant dans le cadre du présent accord dans un souci de lisibilité et de visibilité du statut collectif de l'entreprise pour l'ensemble des collaborateurs.</w:t>
      </w:r>
    </w:p>
    <w:p>
      <w:pPr>
        <w:pStyle w:val="Normal"/>
        <w:spacing w:lineRule="auto" w:line="223" w:before="0" w:after="213"/>
        <w:ind w:left="31" w:right="107" w:hanging="3"/>
        <w:jc w:val="both"/>
        <w:rPr>
          <w:lang w:val="fr-FR"/>
        </w:rPr>
      </w:pPr>
      <w:r>
        <w:rPr>
          <w:sz w:val="24"/>
          <w:lang w:val="fr-FR"/>
        </w:rPr>
        <w:t>La négociation annuelle sur la rémunération, le temps de travail et le partage de la valeur ajoutée dans I</w:t>
      </w:r>
      <w:r>
        <w:rPr>
          <w:sz w:val="24"/>
          <w:vertAlign w:val="superscript"/>
          <w:lang w:val="fr-FR"/>
        </w:rPr>
        <w:t>t</w:t>
      </w:r>
      <w:r>
        <w:rPr>
          <w:sz w:val="24"/>
          <w:lang w:val="fr-FR"/>
        </w:rPr>
        <w:t>entreprise a porté sur les salaires effectifs, la durée effective et l'organisation du temps de travail, t'épargne salariale et le suivi de la mise en œuvre des mesures visant à supprimer les écarts de rémunération et les différences de déroulement de carrière entre les femmes et les hommes.</w:t>
      </w:r>
    </w:p>
    <w:p>
      <w:pPr>
        <w:pStyle w:val="Normal"/>
        <w:spacing w:lineRule="auto" w:line="223" w:before="0" w:after="239"/>
        <w:ind w:left="31" w:right="107" w:hanging="3"/>
        <w:jc w:val="both"/>
        <w:rPr>
          <w:lang w:val="fr-FR"/>
        </w:rPr>
      </w:pPr>
      <w:r>
        <w:rPr>
          <w:sz w:val="24"/>
          <w:lang w:val="fr-FR"/>
        </w:rPr>
        <w:t>Les parties reconnaissent sur ce dernier point qu'il n'existe pas d'écarts de rémunération entre les hommes et les femmes à fonctions égales dans l'entreprise. Cependant, un accord triennal portant sur l'égalité professionnelle entre les femmes et les hommes a été négocié et signé concomitamment à l'accord NAO de 2018, pour une durée de trois années . la négociation d'un nouvel accord sur la base des index égalité des deux dernières années et des bilans égalité professionnelle est actuellement en cours.</w:t>
      </w:r>
    </w:p>
    <w:p>
      <w:pPr>
        <w:pStyle w:val="Normal"/>
        <w:spacing w:lineRule="auto" w:line="223" w:before="0" w:after="213"/>
        <w:ind w:left="31" w:right="107" w:hanging="3"/>
        <w:jc w:val="both"/>
        <w:rPr>
          <w:lang w:val="fr-FR"/>
        </w:rPr>
      </w:pPr>
      <w:r>
        <w:rPr>
          <w:sz w:val="24"/>
          <w:lang w:val="fr-FR"/>
        </w:rPr>
        <w:t>Conformément à l'article L 2242-6 du Code du travail, les parties constatent également l'absence de mises à disposition de salariés auprès des organisations syndicales ou des associations d'employeurs.</w:t>
      </w:r>
    </w:p>
    <w:p>
      <w:pPr>
        <w:pStyle w:val="Normal"/>
        <w:spacing w:lineRule="auto" w:line="223" w:before="0" w:after="213"/>
        <w:ind w:left="31" w:right="107" w:hanging="3"/>
        <w:jc w:val="both"/>
        <w:rPr>
          <w:lang w:val="fr-FR"/>
        </w:rPr>
      </w:pPr>
      <w:r>
        <w:rPr>
          <w:sz w:val="24"/>
          <w:lang w:val="fr-FR"/>
        </w:rPr>
        <w:t>Le présent accord se substitue à toute disposition, usage, pratique ou engagement unilatéral de même nature.</w:t>
      </w:r>
    </w:p>
    <w:p>
      <w:pPr>
        <w:pStyle w:val="Normal"/>
        <w:spacing w:before="0" w:after="93"/>
        <w:ind w:left="24" w:hanging="10"/>
        <w:rPr>
          <w:lang w:val="fr-FR"/>
        </w:rPr>
      </w:pPr>
      <w:r>
        <w:rPr>
          <w:sz w:val="28"/>
          <w:lang w:val="fr-FR"/>
        </w:rPr>
        <w:t>Article 1 - Révision salariale « Employés — Ouvriers »</w:t>
      </w:r>
    </w:p>
    <w:p>
      <w:pPr>
        <w:pStyle w:val="Normal"/>
        <w:spacing w:lineRule="auto" w:line="223" w:before="0" w:after="243"/>
        <w:ind w:left="31" w:right="107" w:hanging="3"/>
        <w:jc w:val="both"/>
        <w:rPr>
          <w:lang w:val="fr-FR"/>
        </w:rPr>
      </w:pPr>
      <w:r>
        <w:rPr>
          <w:sz w:val="24"/>
          <w:lang w:val="fr-FR"/>
        </w:rPr>
        <w:t xml:space="preserve">Il est convenu entre les parties de distinguer entre les deux collèges composant l'effectif </w:t>
      </w:r>
      <w:r>
        <w:rPr>
          <w:lang w:val="en-GB" w:eastAsia="en-GB"/>
        </w:rPr>
        <w:drawing>
          <wp:inline distT="0" distB="0" distL="0" distR="0">
            <wp:extent cx="22860" cy="81915"/>
            <wp:effectExtent l="0" t="0" r="0" b="0"/>
            <wp:docPr id="2" name="Picture 300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0087" descr=""/>
                    <pic:cNvPicPr>
                      <a:picLocks noChangeAspect="1" noChangeArrowheads="1"/>
                    </pic:cNvPicPr>
                  </pic:nvPicPr>
                  <pic:blipFill>
                    <a:blip r:embed="rId3"/>
                    <a:srcRect l="-757" t="-210" r="-757" b="-210"/>
                    <a:stretch>
                      <a:fillRect/>
                    </a:stretch>
                  </pic:blipFill>
                  <pic:spPr bwMode="auto">
                    <a:xfrm>
                      <a:off x="0" y="0"/>
                      <a:ext cx="22860" cy="81915"/>
                    </a:xfrm>
                    <a:prstGeom prst="rect">
                      <a:avLst/>
                    </a:prstGeom>
                  </pic:spPr>
                </pic:pic>
              </a:graphicData>
            </a:graphic>
          </wp:inline>
        </w:drawing>
      </w:r>
      <w:r>
        <w:rPr>
          <w:sz w:val="24"/>
          <w:lang w:val="fr-FR"/>
        </w:rPr>
        <w:t>d'une part, les ouvriers et employés, sujets à augmentation collective dans le cadre du présent accord, et d'autre part, les cadres et agents de maîtrise dont le cas sera traité individuellement.</w:t>
      </w:r>
    </w:p>
    <w:p>
      <w:pPr>
        <w:pStyle w:val="Normal"/>
        <w:spacing w:before="0" w:after="0"/>
        <w:ind w:left="24" w:hanging="3"/>
        <w:rPr>
          <w:lang w:val="fr-FR"/>
        </w:rPr>
      </w:pPr>
      <w:r>
        <w:rPr>
          <w:sz w:val="26"/>
          <w:lang w:val="fr-FR"/>
        </w:rPr>
        <w:t>La révision des salaires mensuels bruts de base prévue à l'alinéa précédent est présentée dans fe tableau ci-dessous.</w:t>
      </w:r>
    </w:p>
    <w:tbl>
      <w:tblPr>
        <w:tblW w:w="9282" w:type="dxa"/>
        <w:jc w:val="left"/>
        <w:tblInd w:w="-96" w:type="dxa"/>
        <w:tblBorders>
          <w:top w:val="single" w:sz="2" w:space="0" w:color="000000"/>
          <w:left w:val="single" w:sz="2" w:space="0" w:color="000000"/>
          <w:bottom w:val="single" w:sz="2" w:space="0" w:color="000000"/>
          <w:insideH w:val="single" w:sz="2" w:space="0" w:color="000000"/>
        </w:tblBorders>
        <w:tblCellMar>
          <w:top w:w="32" w:type="dxa"/>
          <w:left w:w="115" w:type="dxa"/>
          <w:bottom w:w="0" w:type="dxa"/>
          <w:right w:w="105" w:type="dxa"/>
        </w:tblCellMar>
      </w:tblPr>
      <w:tblGrid>
        <w:gridCol w:w="965"/>
        <w:gridCol w:w="834"/>
        <w:gridCol w:w="823"/>
        <w:gridCol w:w="845"/>
        <w:gridCol w:w="830"/>
        <w:gridCol w:w="839"/>
        <w:gridCol w:w="831"/>
        <w:gridCol w:w="827"/>
        <w:gridCol w:w="832"/>
        <w:gridCol w:w="828"/>
        <w:gridCol w:w="828"/>
      </w:tblGrid>
      <w:tr>
        <w:trPr>
          <w:trHeight w:val="242" w:hRule="atLeast"/>
        </w:trPr>
        <w:tc>
          <w:tcPr>
            <w:tcW w:w="965"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lang w:val="fr-FR"/>
              </w:rPr>
            </w:pPr>
            <w:r>
              <w:rPr>
                <w:lang w:val="fr-FR"/>
              </w:rPr>
            </w:r>
          </w:p>
        </w:tc>
        <w:tc>
          <w:tcPr>
            <w:tcW w:w="834"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lang w:val="fr-FR"/>
              </w:rPr>
            </w:pPr>
            <w:r>
              <w:rPr>
                <w:lang w:val="fr-FR"/>
              </w:rPr>
            </w:r>
          </w:p>
        </w:tc>
        <w:tc>
          <w:tcPr>
            <w:tcW w:w="823"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lang w:val="fr-FR"/>
              </w:rPr>
            </w:pPr>
            <w:r>
              <w:rPr>
                <w:lang w:val="fr-FR"/>
              </w:rPr>
            </w:r>
          </w:p>
        </w:tc>
        <w:tc>
          <w:tcPr>
            <w:tcW w:w="845"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lang w:val="fr-FR"/>
              </w:rPr>
            </w:pPr>
            <w:r>
              <w:rPr>
                <w:lang w:val="fr-FR"/>
              </w:rPr>
            </w:r>
          </w:p>
        </w:tc>
        <w:tc>
          <w:tcPr>
            <w:tcW w:w="830"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pacing w:before="0" w:after="0"/>
              <w:ind w:right="17" w:hanging="0"/>
              <w:jc w:val="center"/>
              <w:rPr>
                <w:rFonts w:ascii="Times New Roman" w:hAnsi="Times New Roman" w:eastAsia="Times New Roman" w:cs="Times New Roman"/>
              </w:rPr>
            </w:pPr>
            <w:r>
              <w:rPr>
                <w:rFonts w:eastAsia="Times New Roman" w:cs="Times New Roman" w:ascii="Times New Roman" w:hAnsi="Times New Roman"/>
              </w:rPr>
              <w:t>2B</w:t>
            </w:r>
          </w:p>
        </w:tc>
        <w:tc>
          <w:tcPr>
            <w:tcW w:w="839"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31"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27"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32"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28"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2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15" w:type="dxa"/>
            </w:tcMar>
          </w:tcPr>
          <w:p>
            <w:pPr>
              <w:pStyle w:val="Normal"/>
              <w:snapToGrid w:val="false"/>
              <w:spacing w:before="0" w:after="160"/>
              <w:rPr/>
            </w:pPr>
            <w:r>
              <w:rPr/>
            </w:r>
          </w:p>
        </w:tc>
      </w:tr>
      <w:tr>
        <w:trPr>
          <w:trHeight w:val="475" w:hRule="atLeast"/>
        </w:trPr>
        <w:tc>
          <w:tcPr>
            <w:tcW w:w="965"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pacing w:before="0" w:after="0"/>
              <w:ind w:right="10" w:hanging="0"/>
              <w:jc w:val="center"/>
              <w:rPr>
                <w:sz w:val="24"/>
              </w:rPr>
            </w:pPr>
            <w:r>
              <w:rPr>
                <w:sz w:val="24"/>
              </w:rPr>
              <w:t>NAO</w:t>
            </w:r>
          </w:p>
          <w:p>
            <w:pPr>
              <w:pStyle w:val="Normal"/>
              <w:spacing w:before="0" w:after="0"/>
              <w:ind w:right="39" w:hanging="0"/>
              <w:jc w:val="center"/>
              <w:rPr>
                <w:rFonts w:ascii="Times New Roman" w:hAnsi="Times New Roman" w:eastAsia="Times New Roman" w:cs="Times New Roman"/>
              </w:rPr>
            </w:pPr>
            <w:r>
              <w:rPr>
                <w:rFonts w:eastAsia="Times New Roman" w:cs="Times New Roman" w:ascii="Times New Roman" w:hAnsi="Times New Roman"/>
              </w:rPr>
              <w:t>2021</w:t>
            </w:r>
          </w:p>
        </w:tc>
        <w:tc>
          <w:tcPr>
            <w:tcW w:w="834"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7" w:hanging="0"/>
              <w:jc w:val="center"/>
              <w:rPr>
                <w:rFonts w:ascii="Times New Roman" w:hAnsi="Times New Roman" w:eastAsia="Times New Roman" w:cs="Times New Roman"/>
              </w:rPr>
            </w:pPr>
            <w:r>
              <w:rPr>
                <w:rFonts w:eastAsia="Times New Roman" w:cs="Times New Roman" w:ascii="Times New Roman" w:hAnsi="Times New Roman"/>
              </w:rPr>
              <w:t>10,48</w:t>
            </w:r>
          </w:p>
        </w:tc>
        <w:tc>
          <w:tcPr>
            <w:tcW w:w="823"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10" w:hanging="0"/>
              <w:jc w:val="center"/>
              <w:rPr>
                <w:rFonts w:ascii="Times New Roman" w:hAnsi="Times New Roman" w:eastAsia="Times New Roman" w:cs="Times New Roman"/>
              </w:rPr>
            </w:pPr>
            <w:r>
              <w:rPr>
                <w:rFonts w:eastAsia="Times New Roman" w:cs="Times New Roman" w:ascii="Times New Roman" w:hAnsi="Times New Roman"/>
              </w:rPr>
              <w:t>10,48</w:t>
            </w:r>
          </w:p>
        </w:tc>
        <w:tc>
          <w:tcPr>
            <w:tcW w:w="845"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10" w:hanging="0"/>
              <w:jc w:val="center"/>
              <w:rPr>
                <w:rFonts w:ascii="Times New Roman" w:hAnsi="Times New Roman" w:eastAsia="Times New Roman" w:cs="Times New Roman"/>
              </w:rPr>
            </w:pPr>
            <w:r>
              <w:rPr>
                <w:rFonts w:eastAsia="Times New Roman" w:cs="Times New Roman" w:ascii="Times New Roman" w:hAnsi="Times New Roman"/>
              </w:rPr>
              <w:t>10,48</w:t>
            </w:r>
          </w:p>
        </w:tc>
        <w:tc>
          <w:tcPr>
            <w:tcW w:w="830"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5" w:hanging="0"/>
              <w:jc w:val="center"/>
              <w:rPr>
                <w:rFonts w:ascii="Times New Roman" w:hAnsi="Times New Roman" w:eastAsia="Times New Roman" w:cs="Times New Roman"/>
              </w:rPr>
            </w:pPr>
            <w:r>
              <w:rPr>
                <w:rFonts w:eastAsia="Times New Roman" w:cs="Times New Roman" w:ascii="Times New Roman" w:hAnsi="Times New Roman"/>
              </w:rPr>
              <w:t>10,54</w:t>
            </w:r>
          </w:p>
        </w:tc>
        <w:tc>
          <w:tcPr>
            <w:tcW w:w="839"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10" w:hanging="0"/>
              <w:jc w:val="center"/>
              <w:rPr>
                <w:rFonts w:ascii="Times New Roman" w:hAnsi="Times New Roman" w:eastAsia="Times New Roman" w:cs="Times New Roman"/>
                <w:sz w:val="24"/>
              </w:rPr>
            </w:pPr>
            <w:r>
              <w:rPr>
                <w:rFonts w:eastAsia="Times New Roman" w:cs="Times New Roman" w:ascii="Times New Roman" w:hAnsi="Times New Roman"/>
                <w:sz w:val="24"/>
              </w:rPr>
              <w:t>10,58</w:t>
            </w:r>
          </w:p>
        </w:tc>
        <w:tc>
          <w:tcPr>
            <w:tcW w:w="831"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58" w:hanging="0"/>
              <w:rPr>
                <w:rFonts w:ascii="Times New Roman" w:hAnsi="Times New Roman" w:eastAsia="Times New Roman" w:cs="Times New Roman"/>
                <w:sz w:val="24"/>
              </w:rPr>
            </w:pPr>
            <w:r>
              <w:rPr>
                <w:rFonts w:eastAsia="Times New Roman" w:cs="Times New Roman" w:ascii="Times New Roman" w:hAnsi="Times New Roman"/>
                <w:sz w:val="24"/>
              </w:rPr>
              <w:t>10,48</w:t>
            </w:r>
          </w:p>
        </w:tc>
        <w:tc>
          <w:tcPr>
            <w:tcW w:w="827"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2" w:hanging="0"/>
              <w:jc w:val="center"/>
              <w:rPr>
                <w:rFonts w:ascii="Times New Roman" w:hAnsi="Times New Roman" w:eastAsia="Times New Roman" w:cs="Times New Roman"/>
                <w:sz w:val="24"/>
              </w:rPr>
            </w:pPr>
            <w:r>
              <w:rPr>
                <w:rFonts w:eastAsia="Times New Roman" w:cs="Times New Roman" w:ascii="Times New Roman" w:hAnsi="Times New Roman"/>
                <w:sz w:val="24"/>
              </w:rPr>
              <w:t>10,65</w:t>
            </w:r>
          </w:p>
        </w:tc>
        <w:tc>
          <w:tcPr>
            <w:tcW w:w="832"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17" w:hanging="0"/>
              <w:jc w:val="center"/>
              <w:rPr>
                <w:rFonts w:ascii="Times New Roman" w:hAnsi="Times New Roman" w:eastAsia="Times New Roman" w:cs="Times New Roman"/>
                <w:sz w:val="24"/>
              </w:rPr>
            </w:pPr>
            <w:r>
              <w:rPr>
                <w:rFonts w:eastAsia="Times New Roman" w:cs="Times New Roman" w:ascii="Times New Roman" w:hAnsi="Times New Roman"/>
                <w:sz w:val="24"/>
              </w:rPr>
              <w:t>10,66</w:t>
            </w:r>
          </w:p>
        </w:tc>
        <w:tc>
          <w:tcPr>
            <w:tcW w:w="828"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58" w:hanging="0"/>
              <w:rPr>
                <w:rFonts w:ascii="Times New Roman" w:hAnsi="Times New Roman" w:eastAsia="Times New Roman" w:cs="Times New Roman"/>
                <w:sz w:val="24"/>
              </w:rPr>
            </w:pPr>
            <w:r>
              <w:rPr>
                <w:rFonts w:eastAsia="Times New Roman" w:cs="Times New Roman" w:ascii="Times New Roman" w:hAnsi="Times New Roman"/>
                <w:sz w:val="24"/>
              </w:rPr>
              <w:t>10,48</w:t>
            </w:r>
          </w:p>
        </w:tc>
        <w:tc>
          <w:tcPr>
            <w:tcW w:w="82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15" w:type="dxa"/>
            </w:tcMar>
            <w:vAlign w:val="center"/>
          </w:tcPr>
          <w:p>
            <w:pPr>
              <w:pStyle w:val="Normal"/>
              <w:spacing w:before="0" w:after="0"/>
              <w:ind w:right="10" w:hanging="0"/>
              <w:jc w:val="center"/>
              <w:rPr>
                <w:rFonts w:ascii="Times New Roman" w:hAnsi="Times New Roman" w:eastAsia="Times New Roman" w:cs="Times New Roman"/>
              </w:rPr>
            </w:pPr>
            <w:r>
              <w:rPr>
                <w:rFonts w:eastAsia="Times New Roman" w:cs="Times New Roman" w:ascii="Times New Roman" w:hAnsi="Times New Roman"/>
              </w:rPr>
              <w:t>11,08</w:t>
            </w:r>
          </w:p>
        </w:tc>
      </w:tr>
      <w:tr>
        <w:trPr>
          <w:trHeight w:val="471" w:hRule="atLeast"/>
        </w:trPr>
        <w:tc>
          <w:tcPr>
            <w:tcW w:w="965"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pacing w:before="0" w:after="0"/>
              <w:ind w:right="3" w:hanging="0"/>
              <w:jc w:val="center"/>
              <w:rPr>
                <w:sz w:val="24"/>
              </w:rPr>
            </w:pPr>
            <w:r>
              <w:rPr>
                <w:sz w:val="24"/>
              </w:rPr>
              <w:t>NAO</w:t>
            </w:r>
          </w:p>
          <w:p>
            <w:pPr>
              <w:pStyle w:val="Normal"/>
              <w:spacing w:before="0" w:after="0"/>
              <w:ind w:right="24" w:hanging="0"/>
              <w:jc w:val="center"/>
              <w:rPr>
                <w:rFonts w:ascii="Times New Roman" w:hAnsi="Times New Roman" w:eastAsia="Times New Roman" w:cs="Times New Roman"/>
              </w:rPr>
            </w:pPr>
            <w:r>
              <w:rPr>
                <w:rFonts w:eastAsia="Times New Roman" w:cs="Times New Roman" w:ascii="Times New Roman" w:hAnsi="Times New Roman"/>
              </w:rPr>
              <w:t>2022</w:t>
            </w:r>
          </w:p>
        </w:tc>
        <w:tc>
          <w:tcPr>
            <w:tcW w:w="834"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7" w:hanging="0"/>
              <w:jc w:val="center"/>
              <w:rPr>
                <w:rFonts w:ascii="Times New Roman" w:hAnsi="Times New Roman" w:eastAsia="Times New Roman" w:cs="Times New Roman"/>
              </w:rPr>
            </w:pPr>
            <w:r>
              <w:rPr>
                <w:rFonts w:eastAsia="Times New Roman" w:cs="Times New Roman" w:ascii="Times New Roman" w:hAnsi="Times New Roman"/>
              </w:rPr>
              <w:t>10,57</w:t>
            </w:r>
          </w:p>
        </w:tc>
        <w:tc>
          <w:tcPr>
            <w:tcW w:w="823"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10" w:hanging="0"/>
              <w:jc w:val="center"/>
              <w:rPr>
                <w:rFonts w:ascii="Times New Roman" w:hAnsi="Times New Roman" w:eastAsia="Times New Roman" w:cs="Times New Roman"/>
              </w:rPr>
            </w:pPr>
            <w:r>
              <w:rPr>
                <w:rFonts w:eastAsia="Times New Roman" w:cs="Times New Roman" w:ascii="Times New Roman" w:hAnsi="Times New Roman"/>
              </w:rPr>
              <w:t>10,57</w:t>
            </w:r>
          </w:p>
        </w:tc>
        <w:tc>
          <w:tcPr>
            <w:tcW w:w="845"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3" w:hanging="0"/>
              <w:jc w:val="center"/>
              <w:rPr>
                <w:rFonts w:ascii="Times New Roman" w:hAnsi="Times New Roman" w:eastAsia="Times New Roman" w:cs="Times New Roman"/>
                <w:sz w:val="24"/>
              </w:rPr>
            </w:pPr>
            <w:r>
              <w:rPr>
                <w:rFonts w:eastAsia="Times New Roman" w:cs="Times New Roman" w:ascii="Times New Roman" w:hAnsi="Times New Roman"/>
                <w:sz w:val="24"/>
              </w:rPr>
              <w:t>10,57</w:t>
            </w:r>
          </w:p>
        </w:tc>
        <w:tc>
          <w:tcPr>
            <w:tcW w:w="830"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5" w:hanging="0"/>
              <w:jc w:val="center"/>
              <w:rPr>
                <w:rFonts w:ascii="Times New Roman" w:hAnsi="Times New Roman" w:eastAsia="Times New Roman" w:cs="Times New Roman"/>
                <w:sz w:val="24"/>
              </w:rPr>
            </w:pPr>
            <w:r>
              <w:rPr>
                <w:rFonts w:eastAsia="Times New Roman" w:cs="Times New Roman" w:ascii="Times New Roman" w:hAnsi="Times New Roman"/>
                <w:sz w:val="24"/>
              </w:rPr>
              <w:t>10,85</w:t>
            </w:r>
          </w:p>
        </w:tc>
        <w:tc>
          <w:tcPr>
            <w:tcW w:w="839"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10" w:hanging="0"/>
              <w:jc w:val="center"/>
              <w:rPr>
                <w:rFonts w:ascii="Times New Roman" w:hAnsi="Times New Roman" w:eastAsia="Times New Roman" w:cs="Times New Roman"/>
                <w:sz w:val="24"/>
              </w:rPr>
            </w:pPr>
            <w:r>
              <w:rPr>
                <w:rFonts w:eastAsia="Times New Roman" w:cs="Times New Roman" w:ascii="Times New Roman" w:hAnsi="Times New Roman"/>
                <w:sz w:val="24"/>
              </w:rPr>
              <w:t>10,88</w:t>
            </w:r>
          </w:p>
        </w:tc>
        <w:tc>
          <w:tcPr>
            <w:tcW w:w="831"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3" w:hanging="0"/>
              <w:jc w:val="center"/>
              <w:rPr>
                <w:rFonts w:ascii="Times New Roman" w:hAnsi="Times New Roman" w:eastAsia="Times New Roman" w:cs="Times New Roman"/>
              </w:rPr>
            </w:pPr>
            <w:r>
              <w:rPr>
                <w:rFonts w:eastAsia="Times New Roman" w:cs="Times New Roman" w:ascii="Times New Roman" w:hAnsi="Times New Roman"/>
              </w:rPr>
              <w:t>10,57</w:t>
            </w:r>
          </w:p>
        </w:tc>
        <w:tc>
          <w:tcPr>
            <w:tcW w:w="827"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5" w:hanging="0"/>
              <w:jc w:val="center"/>
              <w:rPr>
                <w:rFonts w:ascii="Times New Roman" w:hAnsi="Times New Roman" w:eastAsia="Times New Roman" w:cs="Times New Roman"/>
              </w:rPr>
            </w:pPr>
            <w:r>
              <w:rPr>
                <w:rFonts w:eastAsia="Times New Roman" w:cs="Times New Roman" w:ascii="Times New Roman" w:hAnsi="Times New Roman"/>
              </w:rPr>
              <w:t>10,97</w:t>
            </w:r>
          </w:p>
        </w:tc>
        <w:tc>
          <w:tcPr>
            <w:tcW w:w="832"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3" w:hanging="0"/>
              <w:jc w:val="center"/>
              <w:rPr>
                <w:rFonts w:ascii="Times New Roman" w:hAnsi="Times New Roman" w:eastAsia="Times New Roman" w:cs="Times New Roman"/>
                <w:sz w:val="24"/>
              </w:rPr>
            </w:pPr>
            <w:r>
              <w:rPr>
                <w:rFonts w:eastAsia="Times New Roman" w:cs="Times New Roman" w:ascii="Times New Roman" w:hAnsi="Times New Roman"/>
                <w:sz w:val="24"/>
              </w:rPr>
              <w:t>10,98</w:t>
            </w:r>
          </w:p>
        </w:tc>
        <w:tc>
          <w:tcPr>
            <w:tcW w:w="828"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right="7" w:hanging="0"/>
              <w:jc w:val="center"/>
              <w:rPr>
                <w:rFonts w:ascii="Times New Roman" w:hAnsi="Times New Roman" w:eastAsia="Times New Roman" w:cs="Times New Roman"/>
                <w:sz w:val="24"/>
              </w:rPr>
            </w:pPr>
            <w:r>
              <w:rPr>
                <w:rFonts w:eastAsia="Times New Roman" w:cs="Times New Roman" w:ascii="Times New Roman" w:hAnsi="Times New Roman"/>
                <w:sz w:val="24"/>
              </w:rPr>
              <w:t>10,86</w:t>
            </w:r>
          </w:p>
        </w:tc>
        <w:tc>
          <w:tcPr>
            <w:tcW w:w="82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15" w:type="dxa"/>
            </w:tcMar>
            <w:vAlign w:val="center"/>
          </w:tcPr>
          <w:p>
            <w:pPr>
              <w:pStyle w:val="Normal"/>
              <w:spacing w:before="0" w:after="0"/>
              <w:ind w:right="3" w:hanging="0"/>
              <w:jc w:val="center"/>
              <w:rPr>
                <w:rFonts w:ascii="Times New Roman" w:hAnsi="Times New Roman" w:eastAsia="Times New Roman" w:cs="Times New Roman"/>
              </w:rPr>
            </w:pPr>
            <w:r>
              <w:rPr>
                <w:rFonts w:eastAsia="Times New Roman" w:cs="Times New Roman" w:ascii="Times New Roman" w:hAnsi="Times New Roman"/>
              </w:rPr>
              <w:t>11,34</w:t>
            </w:r>
          </w:p>
        </w:tc>
      </w:tr>
      <w:tr>
        <w:trPr>
          <w:trHeight w:val="473" w:hRule="atLeast"/>
        </w:trPr>
        <w:tc>
          <w:tcPr>
            <w:tcW w:w="965"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34"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7" w:hanging="0"/>
              <w:jc w:val="center"/>
              <w:rPr>
                <w:rFonts w:ascii="Times New Roman" w:hAnsi="Times New Roman" w:eastAsia="Times New Roman" w:cs="Times New Roman"/>
                <w:sz w:val="18"/>
              </w:rPr>
            </w:pPr>
            <w:r>
              <w:rPr>
                <w:rFonts w:eastAsia="Times New Roman" w:cs="Times New Roman" w:ascii="Times New Roman" w:hAnsi="Times New Roman"/>
                <w:sz w:val="18"/>
              </w:rPr>
              <w:t>+ 1, 0596</w:t>
            </w:r>
          </w:p>
        </w:tc>
        <w:tc>
          <w:tcPr>
            <w:tcW w:w="823"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rPr>
                <w:rFonts w:ascii="Times New Roman" w:hAnsi="Times New Roman" w:eastAsia="Times New Roman" w:cs="Times New Roman"/>
                <w:sz w:val="16"/>
              </w:rPr>
            </w:pPr>
            <w:r>
              <w:rPr>
                <w:rFonts w:eastAsia="Times New Roman" w:cs="Times New Roman" w:ascii="Times New Roman" w:hAnsi="Times New Roman"/>
                <w:sz w:val="16"/>
              </w:rPr>
              <w:t>+ 1 050/0</w:t>
            </w:r>
          </w:p>
        </w:tc>
        <w:tc>
          <w:tcPr>
            <w:tcW w:w="845"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257" w:hanging="0"/>
              <w:rPr>
                <w:rFonts w:ascii="Times New Roman" w:hAnsi="Times New Roman" w:eastAsia="Times New Roman" w:cs="Times New Roman"/>
                <w:sz w:val="16"/>
              </w:rPr>
            </w:pPr>
            <w:r>
              <w:rPr>
                <w:rFonts w:eastAsia="Times New Roman" w:cs="Times New Roman" w:ascii="Times New Roman" w:hAnsi="Times New Roman"/>
                <w:sz w:val="16"/>
              </w:rPr>
              <w:t>050/0</w:t>
            </w:r>
          </w:p>
        </w:tc>
        <w:tc>
          <w:tcPr>
            <w:tcW w:w="830"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39"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5" w:hanging="0"/>
              <w:rPr/>
            </w:pPr>
            <w:r>
              <w:rPr>
                <w:rFonts w:eastAsia="Times New Roman" w:cs="Times New Roman" w:ascii="Times New Roman" w:hAnsi="Times New Roman"/>
                <w:sz w:val="16"/>
              </w:rPr>
              <w:t>+2, 84</w:t>
            </w:r>
            <w:r>
              <w:rPr>
                <w:rFonts w:eastAsia="Times New Roman" w:cs="Times New Roman" w:ascii="Times New Roman" w:hAnsi="Times New Roman"/>
                <w:sz w:val="16"/>
                <w:vertAlign w:val="superscript"/>
              </w:rPr>
              <w:t>0</w:t>
            </w:r>
            <w:r>
              <w:rPr>
                <w:rFonts w:eastAsia="Times New Roman" w:cs="Times New Roman" w:ascii="Times New Roman" w:hAnsi="Times New Roman"/>
                <w:sz w:val="16"/>
              </w:rPr>
              <w:t>/0</w:t>
            </w:r>
          </w:p>
        </w:tc>
        <w:tc>
          <w:tcPr>
            <w:tcW w:w="831" w:type="dxa"/>
            <w:tcBorders>
              <w:top w:val="single" w:sz="2" w:space="0" w:color="000000"/>
              <w:left w:val="single" w:sz="2" w:space="0" w:color="000000"/>
              <w:bottom w:val="single" w:sz="2" w:space="0" w:color="000000"/>
              <w:insideH w:val="single" w:sz="2" w:space="0" w:color="000000"/>
            </w:tcBorders>
            <w:shd w:fill="auto" w:val="clear"/>
            <w:tcMar>
              <w:left w:w="115" w:type="dxa"/>
            </w:tcMar>
          </w:tcPr>
          <w:p>
            <w:pPr>
              <w:pStyle w:val="Normal"/>
              <w:snapToGrid w:val="false"/>
              <w:spacing w:before="0" w:after="160"/>
              <w:rPr/>
            </w:pPr>
            <w:r>
              <w:rPr/>
            </w:r>
          </w:p>
        </w:tc>
        <w:tc>
          <w:tcPr>
            <w:tcW w:w="827"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5" w:hanging="0"/>
              <w:rPr>
                <w:rFonts w:ascii="Times New Roman" w:hAnsi="Times New Roman" w:eastAsia="Times New Roman" w:cs="Times New Roman"/>
                <w:sz w:val="16"/>
              </w:rPr>
            </w:pPr>
            <w:r>
              <w:rPr>
                <w:rFonts w:eastAsia="Times New Roman" w:cs="Times New Roman" w:ascii="Times New Roman" w:hAnsi="Times New Roman"/>
                <w:sz w:val="16"/>
              </w:rPr>
              <w:t>+3, 000/0</w:t>
            </w:r>
          </w:p>
        </w:tc>
        <w:tc>
          <w:tcPr>
            <w:tcW w:w="832"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ind w:left="5" w:hanging="0"/>
              <w:rPr/>
            </w:pPr>
            <w:r>
              <w:rPr>
                <w:rFonts w:eastAsia="Times New Roman" w:cs="Times New Roman" w:ascii="Times New Roman" w:hAnsi="Times New Roman"/>
                <w:sz w:val="16"/>
              </w:rPr>
              <w:t>+3, 00</w:t>
            </w:r>
            <w:r>
              <w:rPr>
                <w:rFonts w:eastAsia="Times New Roman" w:cs="Times New Roman" w:ascii="Times New Roman" w:hAnsi="Times New Roman"/>
                <w:sz w:val="16"/>
                <w:vertAlign w:val="superscript"/>
              </w:rPr>
              <w:t>0</w:t>
            </w:r>
            <w:r>
              <w:rPr>
                <w:rFonts w:eastAsia="Times New Roman" w:cs="Times New Roman" w:ascii="Times New Roman" w:hAnsi="Times New Roman"/>
                <w:sz w:val="16"/>
              </w:rPr>
              <w:t>/0</w:t>
            </w:r>
          </w:p>
        </w:tc>
        <w:tc>
          <w:tcPr>
            <w:tcW w:w="828" w:type="dxa"/>
            <w:tcBorders>
              <w:top w:val="single" w:sz="2" w:space="0" w:color="000000"/>
              <w:left w:val="single" w:sz="2" w:space="0" w:color="000000"/>
              <w:bottom w:val="single" w:sz="2" w:space="0" w:color="000000"/>
              <w:insideH w:val="single" w:sz="2" w:space="0" w:color="000000"/>
            </w:tcBorders>
            <w:shd w:fill="auto" w:val="clear"/>
            <w:tcMar>
              <w:left w:w="115" w:type="dxa"/>
            </w:tcMar>
            <w:vAlign w:val="center"/>
          </w:tcPr>
          <w:p>
            <w:pPr>
              <w:pStyle w:val="Normal"/>
              <w:spacing w:before="0" w:after="0"/>
              <w:rPr>
                <w:rFonts w:ascii="Times New Roman" w:hAnsi="Times New Roman" w:eastAsia="Times New Roman" w:cs="Times New Roman"/>
                <w:sz w:val="16"/>
              </w:rPr>
            </w:pPr>
            <w:r>
              <w:rPr>
                <w:rFonts w:eastAsia="Times New Roman" w:cs="Times New Roman" w:ascii="Times New Roman" w:hAnsi="Times New Roman"/>
                <w:sz w:val="16"/>
              </w:rPr>
              <w:t>+3, 630/6</w:t>
            </w:r>
          </w:p>
        </w:tc>
        <w:tc>
          <w:tcPr>
            <w:tcW w:w="82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15" w:type="dxa"/>
            </w:tcMar>
          </w:tcPr>
          <w:p>
            <w:pPr>
              <w:pStyle w:val="Normal"/>
              <w:spacing w:before="0" w:after="0"/>
              <w:rPr>
                <w:rFonts w:ascii="Times New Roman" w:hAnsi="Times New Roman" w:eastAsia="Times New Roman" w:cs="Times New Roman"/>
                <w:sz w:val="18"/>
              </w:rPr>
            </w:pPr>
            <w:r>
              <w:rPr>
                <w:rFonts w:eastAsia="Times New Roman" w:cs="Times New Roman" w:ascii="Times New Roman" w:hAnsi="Times New Roman"/>
                <w:sz w:val="18"/>
              </w:rPr>
              <w:t>+2, 3596</w:t>
            </w:r>
          </w:p>
        </w:tc>
      </w:tr>
    </w:tbl>
    <w:p>
      <w:pPr>
        <w:pStyle w:val="Normal"/>
        <w:spacing w:before="0" w:after="140"/>
        <w:ind w:left="24" w:hanging="3"/>
        <w:rPr>
          <w:lang w:val="fr-FR"/>
        </w:rPr>
      </w:pPr>
      <w:r>
        <w:rPr>
          <w:sz w:val="26"/>
          <w:lang w:val="fr-FR"/>
        </w:rPr>
        <w:t>Article 2 — Remplacements de managers assurés par les EC4</w:t>
      </w:r>
    </w:p>
    <w:p>
      <w:pPr>
        <w:pStyle w:val="Normal"/>
        <w:spacing w:before="0" w:after="169"/>
        <w:ind w:left="744" w:hanging="10"/>
        <w:rPr>
          <w:lang w:val="fr-FR"/>
        </w:rPr>
      </w:pPr>
      <w:r>
        <w:rPr>
          <w:sz w:val="24"/>
          <w:u w:val="single" w:color="000000"/>
          <w:lang w:val="fr-FR"/>
        </w:rPr>
        <w:t>2.1 Les principes directeurs</w:t>
      </w:r>
    </w:p>
    <w:p>
      <w:pPr>
        <w:pStyle w:val="Normal"/>
        <w:spacing w:lineRule="auto" w:line="223" w:before="0" w:after="213"/>
        <w:ind w:left="31" w:right="107" w:hanging="3"/>
        <w:jc w:val="both"/>
        <w:rPr>
          <w:lang w:val="fr-FR"/>
        </w:rPr>
      </w:pPr>
      <w:r>
        <w:rPr>
          <w:sz w:val="24"/>
          <w:lang w:val="fr-FR"/>
        </w:rPr>
        <w:t>Afin de valoriser la responsabilité de remplacement de l'encadrement attachée à certaines fonctions d'EC4, les partenaires sociaux ont décidé de prévoir des dispositions spécifiques.</w:t>
      </w:r>
    </w:p>
    <w:p>
      <w:pPr>
        <w:pStyle w:val="Normal"/>
        <w:spacing w:lineRule="auto" w:line="223" w:before="0" w:after="259"/>
        <w:ind w:left="31" w:right="107" w:hanging="3"/>
        <w:jc w:val="both"/>
        <w:rPr>
          <w:lang w:val="fr-FR"/>
        </w:rPr>
      </w:pPr>
      <w:r>
        <w:rPr>
          <w:sz w:val="24"/>
          <w:lang w:val="fr-FR"/>
        </w:rPr>
        <w:t>En revanche, les EC4B identifiés comme effectuant les remplacements des managers de rayon pendant leurs absences dans les conditions définies ci-après bénéficieront d'une prime de fonction d'un montant annuel maximal de 500 (cinq cents) euros bruts</w:t>
      </w:r>
      <w:r>
        <w:rPr>
          <w:lang w:val="en-GB" w:eastAsia="en-GB"/>
        </w:rPr>
        <w:drawing>
          <wp:inline distT="0" distB="0" distL="0" distR="0">
            <wp:extent cx="17780" cy="17780"/>
            <wp:effectExtent l="0" t="0" r="0" b="0"/>
            <wp:docPr id="3" name="Picture 54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419" descr=""/>
                    <pic:cNvPicPr>
                      <a:picLocks noChangeAspect="1" noChangeArrowheads="1"/>
                    </pic:cNvPicPr>
                  </pic:nvPicPr>
                  <pic:blipFill>
                    <a:blip r:embed="rId4"/>
                    <a:srcRect l="-943" t="-943" r="-943" b="-943"/>
                    <a:stretch>
                      <a:fillRect/>
                    </a:stretch>
                  </pic:blipFill>
                  <pic:spPr bwMode="auto">
                    <a:xfrm>
                      <a:off x="0" y="0"/>
                      <a:ext cx="17780" cy="17780"/>
                    </a:xfrm>
                    <a:prstGeom prst="rect">
                      <a:avLst/>
                    </a:prstGeom>
                  </pic:spPr>
                </pic:pic>
              </a:graphicData>
            </a:graphic>
          </wp:inline>
        </w:drawing>
      </w:r>
    </w:p>
    <w:p>
      <w:pPr>
        <w:pStyle w:val="Normal"/>
        <w:spacing w:lineRule="auto" w:line="223" w:before="0" w:after="213"/>
        <w:ind w:left="31" w:right="107" w:hanging="3"/>
        <w:jc w:val="both"/>
        <w:rPr>
          <w:lang w:val="fr-FR"/>
        </w:rPr>
      </w:pPr>
      <w:r>
        <w:rPr>
          <w:sz w:val="24"/>
          <w:lang w:val="fr-FR"/>
        </w:rPr>
        <w:t>Le fait de ne pas ou plus effectuer de remplacement de manager de rayon, ou dans des proportions insuffisantes au regard des dispositions du présent accord, entraîne ainsi la perte de la prime de fonctions y afférente, sans qu'aucune modification du contrat de travail puisse être invoquée par te salarié de ce seul fait.</w:t>
      </w:r>
    </w:p>
    <w:p>
      <w:pPr>
        <w:pStyle w:val="Normal"/>
        <w:spacing w:before="0" w:after="169"/>
        <w:ind w:left="744" w:hanging="10"/>
        <w:rPr>
          <w:lang w:val="fr-FR"/>
        </w:rPr>
      </w:pPr>
      <w:r>
        <w:rPr>
          <w:sz w:val="24"/>
          <w:u w:val="single" w:color="000000"/>
          <w:lang w:val="fr-FR"/>
        </w:rPr>
        <w:t>2.2 Le fonctionnement</w:t>
      </w:r>
    </w:p>
    <w:p>
      <w:pPr>
        <w:pStyle w:val="Normal"/>
        <w:spacing w:lineRule="auto" w:line="223" w:before="0" w:after="213"/>
        <w:ind w:left="31" w:right="107" w:hanging="3"/>
        <w:jc w:val="both"/>
        <w:rPr>
          <w:lang w:val="fr-FR"/>
        </w:rPr>
      </w:pPr>
      <w:r>
        <w:rPr>
          <w:sz w:val="24"/>
          <w:lang w:val="fr-FR"/>
        </w:rPr>
        <w:t xml:space="preserve">Les parties soulignent que cette prime est destinée à récompenser la responsabilité assumée par certains EC4B remplaçant leur manager de rayon en dehors des simples absences occasionnelles (par exemple congés payés, JRTT, congés pour événement familial, maladie de coutte durée...), par application de l'alinéa 1 </w:t>
      </w:r>
      <w:r>
        <w:rPr>
          <w:sz w:val="24"/>
          <w:vertAlign w:val="superscript"/>
          <w:lang w:val="fr-FR"/>
        </w:rPr>
        <w:t xml:space="preserve">er </w:t>
      </w:r>
      <w:r>
        <w:rPr>
          <w:sz w:val="24"/>
          <w:lang w:val="fr-FR"/>
        </w:rPr>
        <w:t xml:space="preserve">de l'article 4-5.2, al. 1 </w:t>
      </w:r>
      <w:r>
        <w:rPr>
          <w:sz w:val="24"/>
          <w:vertAlign w:val="superscript"/>
          <w:lang w:val="fr-FR"/>
        </w:rPr>
        <w:t xml:space="preserve">er </w:t>
      </w:r>
      <w:r>
        <w:rPr>
          <w:sz w:val="24"/>
          <w:lang w:val="fr-FR"/>
        </w:rPr>
        <w:t>de la convention collective applicable.</w:t>
      </w:r>
    </w:p>
    <w:p>
      <w:pPr>
        <w:pStyle w:val="Normal"/>
        <w:spacing w:lineRule="auto" w:line="223" w:before="0" w:after="293"/>
        <w:ind w:left="31" w:right="107" w:hanging="3"/>
        <w:jc w:val="both"/>
        <w:rPr>
          <w:lang w:val="fr-FR"/>
        </w:rPr>
      </w:pPr>
      <w:r>
        <w:rPr>
          <w:sz w:val="24"/>
          <w:lang w:val="fr-FR"/>
        </w:rPr>
        <w:t>La présente prime s'applique par conséquent pour les remplacements de managers de rayon</w:t>
      </w:r>
      <w:r>
        <w:rPr>
          <w:lang w:val="en-GB" w:eastAsia="en-GB"/>
        </w:rPr>
        <w:drawing>
          <wp:inline distT="0" distB="0" distL="0" distR="0">
            <wp:extent cx="17780" cy="76835"/>
            <wp:effectExtent l="0" t="0" r="0" b="0"/>
            <wp:docPr id="4" name="Picture 300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0089" descr=""/>
                    <pic:cNvPicPr>
                      <a:picLocks noChangeAspect="1" noChangeArrowheads="1"/>
                    </pic:cNvPicPr>
                  </pic:nvPicPr>
                  <pic:blipFill>
                    <a:blip r:embed="rId5"/>
                    <a:srcRect l="-943" t="-222" r="-943" b="-222"/>
                    <a:stretch>
                      <a:fillRect/>
                    </a:stretch>
                  </pic:blipFill>
                  <pic:spPr bwMode="auto">
                    <a:xfrm>
                      <a:off x="0" y="0"/>
                      <a:ext cx="17780" cy="76835"/>
                    </a:xfrm>
                    <a:prstGeom prst="rect">
                      <a:avLst/>
                    </a:prstGeom>
                  </pic:spPr>
                </pic:pic>
              </a:graphicData>
            </a:graphic>
          </wp:inline>
        </w:drawing>
      </w:r>
    </w:p>
    <w:p>
      <w:pPr>
        <w:pStyle w:val="Normal"/>
        <w:spacing w:lineRule="auto" w:line="223" w:before="0" w:after="213"/>
        <w:ind w:left="392" w:right="107" w:hanging="3"/>
        <w:jc w:val="both"/>
        <w:rPr>
          <w:lang w:val="fr-FR"/>
        </w:rPr>
      </w:pPr>
      <w:r>
        <w:rPr>
          <w:lang w:val="en-GB" w:eastAsia="en-GB"/>
        </w:rPr>
        <w:drawing>
          <wp:inline distT="0" distB="0" distL="0" distR="0">
            <wp:extent cx="40640" cy="17780"/>
            <wp:effectExtent l="0" t="0" r="0" b="0"/>
            <wp:docPr id="5" name="Picture 53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397" descr=""/>
                    <pic:cNvPicPr>
                      <a:picLocks noChangeAspect="1" noChangeArrowheads="1"/>
                    </pic:cNvPicPr>
                  </pic:nvPicPr>
                  <pic:blipFill>
                    <a:blip r:embed="rId6"/>
                    <a:srcRect l="-420" t="-943" r="-420" b="-943"/>
                    <a:stretch>
                      <a:fillRect/>
                    </a:stretch>
                  </pic:blipFill>
                  <pic:spPr bwMode="auto">
                    <a:xfrm>
                      <a:off x="0" y="0"/>
                      <a:ext cx="40640" cy="17780"/>
                    </a:xfrm>
                    <a:prstGeom prst="rect">
                      <a:avLst/>
                    </a:prstGeom>
                  </pic:spPr>
                </pic:pic>
              </a:graphicData>
            </a:graphic>
          </wp:inline>
        </w:drawing>
      </w:r>
      <w:r>
        <w:rPr>
          <w:sz w:val="24"/>
          <w:lang w:val="fr-FR"/>
        </w:rPr>
        <w:t xml:space="preserve"> </w:t>
      </w:r>
      <w:r>
        <w:rPr>
          <w:sz w:val="24"/>
          <w:lang w:val="fr-FR"/>
        </w:rPr>
        <w:t xml:space="preserve">justifiés par les nécessités opérationnelles et organisationnelles ; il est précisé à cet égard que la Direction n'est nullement contrainte de procéder au remplacement d'un absent, quelles que soient les circonstances, </w:t>
      </w:r>
      <w:r>
        <w:rPr>
          <w:lang w:val="en-GB" w:eastAsia="en-GB"/>
        </w:rPr>
        <w:drawing>
          <wp:inline distT="0" distB="0" distL="0" distR="0">
            <wp:extent cx="45720" cy="17780"/>
            <wp:effectExtent l="0" t="0" r="0" b="0"/>
            <wp:docPr id="6" name="Picture 53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398" descr=""/>
                    <pic:cNvPicPr>
                      <a:picLocks noChangeAspect="1" noChangeArrowheads="1"/>
                    </pic:cNvPicPr>
                  </pic:nvPicPr>
                  <pic:blipFill>
                    <a:blip r:embed="rId7"/>
                    <a:srcRect l="-377" t="-943" r="-377" b="-943"/>
                    <a:stretch>
                      <a:fillRect/>
                    </a:stretch>
                  </pic:blipFill>
                  <pic:spPr bwMode="auto">
                    <a:xfrm>
                      <a:off x="0" y="0"/>
                      <a:ext cx="45720" cy="17780"/>
                    </a:xfrm>
                    <a:prstGeom prst="rect">
                      <a:avLst/>
                    </a:prstGeom>
                  </pic:spPr>
                </pic:pic>
              </a:graphicData>
            </a:graphic>
          </wp:inline>
        </w:drawing>
      </w:r>
      <w:r>
        <w:rPr>
          <w:sz w:val="24"/>
          <w:lang w:val="fr-FR"/>
        </w:rPr>
        <w:t xml:space="preserve"> expressément demandés à l'EC4B par la Direction, </w:t>
      </w:r>
      <w:r>
        <w:rPr>
          <w:lang w:val="en-GB" w:eastAsia="en-GB"/>
        </w:rPr>
        <w:drawing>
          <wp:inline distT="0" distB="0" distL="0" distR="0">
            <wp:extent cx="40640" cy="17780"/>
            <wp:effectExtent l="0" t="0" r="0" b="0"/>
            <wp:docPr id="7" name="Picture 5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399" descr=""/>
                    <pic:cNvPicPr>
                      <a:picLocks noChangeAspect="1" noChangeArrowheads="1"/>
                    </pic:cNvPicPr>
                  </pic:nvPicPr>
                  <pic:blipFill>
                    <a:blip r:embed="rId8"/>
                    <a:srcRect l="-420" t="-943" r="-420" b="-943"/>
                    <a:stretch>
                      <a:fillRect/>
                    </a:stretch>
                  </pic:blipFill>
                  <pic:spPr bwMode="auto">
                    <a:xfrm>
                      <a:off x="0" y="0"/>
                      <a:ext cx="40640" cy="17780"/>
                    </a:xfrm>
                    <a:prstGeom prst="rect">
                      <a:avLst/>
                    </a:prstGeom>
                  </pic:spPr>
                </pic:pic>
              </a:graphicData>
            </a:graphic>
          </wp:inline>
        </w:drawing>
      </w:r>
      <w:r>
        <w:rPr>
          <w:sz w:val="24"/>
          <w:lang w:val="fr-FR"/>
        </w:rPr>
        <w:t xml:space="preserve"> et durant au moins 4 semaines consécutives mais moins de six mois, auquel cas trouverait à s'appliquer le troisième alinéa de l'article 4-52, al. 3 de fa convention collective.</w:t>
      </w:r>
    </w:p>
    <w:p>
      <w:pPr>
        <w:pStyle w:val="Normal"/>
        <w:spacing w:lineRule="auto" w:line="216" w:before="0" w:after="204"/>
        <w:ind w:left="125" w:right="-8" w:hanging="3"/>
        <w:jc w:val="both"/>
        <w:rPr>
          <w:lang w:val="fr-FR"/>
        </w:rPr>
      </w:pPr>
      <w:r>
        <w:rPr>
          <w:sz w:val="24"/>
          <w:lang w:val="fr-FR"/>
        </w:rPr>
        <w:t>Un remplacement de manager de rayon d'au moins quatre semaines consécutives dans l'année est le premier critère d'obtention de la prime de fonction, sans lequel le versement de la prime ne saurait être revendiqué.</w:t>
      </w:r>
    </w:p>
    <w:p>
      <w:pPr>
        <w:pStyle w:val="Normal"/>
        <w:spacing w:lineRule="auto" w:line="216" w:before="0" w:after="248"/>
        <w:ind w:left="125" w:right="-8" w:hanging="3"/>
        <w:jc w:val="both"/>
        <w:rPr>
          <w:lang w:val="fr-FR"/>
        </w:rPr>
      </w:pPr>
      <w:r>
        <w:rPr>
          <w:sz w:val="24"/>
          <w:lang w:val="fr-FR"/>
        </w:rPr>
        <w:t>Une fois cette condition remplie, le montant de chaque prime sera fixé lors d'un entretien individuel, selon des critères propres au fonctionnement des rayons d'affectation comme indiqué ci-dessous .</w:t>
      </w:r>
    </w:p>
    <w:p>
      <w:pPr>
        <w:pStyle w:val="Normal"/>
        <w:spacing w:before="0" w:after="0"/>
        <w:ind w:left="153" w:hanging="10"/>
        <w:rPr>
          <w:sz w:val="28"/>
          <w:u w:val="single" w:color="000000"/>
        </w:rPr>
      </w:pPr>
      <w:r>
        <w:rPr>
          <w:sz w:val="28"/>
          <w:u w:val="single" w:color="000000"/>
        </w:rPr>
        <w:t>Pour les Employés Commerciaux</w:t>
      </w:r>
    </w:p>
    <w:tbl>
      <w:tblPr>
        <w:tblW w:w="8476" w:type="dxa"/>
        <w:jc w:val="left"/>
        <w:tblInd w:w="24" w:type="dxa"/>
        <w:tblBorders>
          <w:top w:val="single" w:sz="2" w:space="0" w:color="000000"/>
          <w:left w:val="single" w:sz="2" w:space="0" w:color="000000"/>
          <w:bottom w:val="single" w:sz="2" w:space="0" w:color="000000"/>
          <w:insideH w:val="single" w:sz="2" w:space="0" w:color="000000"/>
        </w:tblBorders>
        <w:tblCellMar>
          <w:top w:w="48" w:type="dxa"/>
          <w:left w:w="-2" w:type="dxa"/>
          <w:bottom w:w="37" w:type="dxa"/>
          <w:right w:w="158" w:type="dxa"/>
        </w:tblCellMar>
      </w:tblPr>
      <w:tblGrid>
        <w:gridCol w:w="2351"/>
        <w:gridCol w:w="1575"/>
        <w:gridCol w:w="1080"/>
        <w:gridCol w:w="374"/>
        <w:gridCol w:w="1689"/>
        <w:gridCol w:w="1407"/>
      </w:tblGrid>
      <w:tr>
        <w:trPr>
          <w:trHeight w:val="600" w:hRule="atLeast"/>
        </w:trPr>
        <w:tc>
          <w:tcPr>
            <w:tcW w:w="2351" w:type="dxa"/>
            <w:vMerge w:val="restart"/>
            <w:tcBorders>
              <w:top w:val="single" w:sz="2" w:space="0" w:color="000000"/>
              <w:left w:val="single" w:sz="2" w:space="0" w:color="000000"/>
              <w:bottom w:val="single" w:sz="2" w:space="0" w:color="000000"/>
              <w:insideH w:val="single" w:sz="2" w:space="0" w:color="000000"/>
            </w:tcBorders>
            <w:shd w:fill="auto" w:val="clear"/>
            <w:tcMar>
              <w:left w:w="-2" w:type="dxa"/>
            </w:tcMar>
            <w:vAlign w:val="center"/>
          </w:tcPr>
          <w:p>
            <w:pPr>
              <w:pStyle w:val="Normal"/>
              <w:spacing w:before="0" w:after="0"/>
              <w:ind w:left="166" w:hanging="0"/>
              <w:jc w:val="center"/>
              <w:rPr>
                <w:sz w:val="26"/>
              </w:rPr>
            </w:pPr>
            <w:r>
              <w:rPr>
                <w:sz w:val="26"/>
              </w:rPr>
              <w:t>Critères</w:t>
            </w:r>
          </w:p>
        </w:tc>
        <w:tc>
          <w:tcPr>
            <w:tcW w:w="1575" w:type="dxa"/>
            <w:vMerge w:val="restart"/>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51" w:hanging="0"/>
              <w:jc w:val="center"/>
              <w:rPr>
                <w:sz w:val="26"/>
              </w:rPr>
            </w:pPr>
            <w:r>
              <w:rPr>
                <w:sz w:val="26"/>
              </w:rPr>
              <w:t>Répartition</w:t>
            </w:r>
          </w:p>
        </w:tc>
        <w:tc>
          <w:tcPr>
            <w:tcW w:w="1080"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napToGrid w:val="false"/>
              <w:spacing w:before="0" w:after="160"/>
              <w:rPr/>
            </w:pPr>
            <w:r>
              <w:rPr/>
            </w:r>
          </w:p>
        </w:tc>
        <w:tc>
          <w:tcPr>
            <w:tcW w:w="3470" w:type="dxa"/>
            <w:gridSpan w:val="3"/>
            <w:tcBorders>
              <w:top w:val="single" w:sz="2" w:space="0" w:color="000000"/>
              <w:bottom w:val="single" w:sz="2" w:space="0" w:color="000000"/>
              <w:right w:val="single" w:sz="2" w:space="0" w:color="000000"/>
              <w:insideH w:val="single" w:sz="2" w:space="0" w:color="000000"/>
              <w:insideV w:val="single" w:sz="2" w:space="0" w:color="000000"/>
            </w:tcBorders>
            <w:shd w:fill="auto" w:val="clear"/>
            <w:vAlign w:val="center"/>
          </w:tcPr>
          <w:p>
            <w:pPr>
              <w:pStyle w:val="Normal"/>
              <w:spacing w:before="0" w:after="0"/>
              <w:rPr>
                <w:sz w:val="26"/>
              </w:rPr>
            </w:pPr>
            <w:r>
              <w:rPr>
                <w:sz w:val="26"/>
              </w:rPr>
              <w:t>Prime par note obtenue</w:t>
            </w:r>
          </w:p>
        </w:tc>
      </w:tr>
      <w:tr>
        <w:trPr>
          <w:trHeight w:val="552" w:hRule="atLeast"/>
        </w:trPr>
        <w:tc>
          <w:tcPr>
            <w:tcW w:w="2351" w:type="dxa"/>
            <w:vMerge w:val="continue"/>
            <w:tcBorders>
              <w:left w:val="single" w:sz="2" w:space="0" w:color="000000"/>
              <w:bottom w:val="single" w:sz="2" w:space="0" w:color="000000"/>
              <w:insideH w:val="single" w:sz="2" w:space="0" w:color="000000"/>
            </w:tcBorders>
            <w:shd w:fill="auto" w:val="clear"/>
            <w:tcMar>
              <w:left w:w="-2" w:type="dxa"/>
            </w:tcMar>
          </w:tcPr>
          <w:p>
            <w:pPr>
              <w:pStyle w:val="Normal"/>
              <w:snapToGrid w:val="false"/>
              <w:spacing w:before="0" w:after="160"/>
              <w:rPr/>
            </w:pPr>
            <w:r>
              <w:rPr/>
            </w:r>
          </w:p>
        </w:tc>
        <w:tc>
          <w:tcPr>
            <w:tcW w:w="1575" w:type="dxa"/>
            <w:vMerge w:val="continue"/>
            <w:tcBorders>
              <w:left w:val="single" w:sz="2" w:space="0" w:color="000000"/>
              <w:bottom w:val="single" w:sz="2" w:space="0" w:color="000000"/>
              <w:insideH w:val="single" w:sz="2" w:space="0" w:color="000000"/>
            </w:tcBorders>
            <w:shd w:fill="auto" w:val="clear"/>
            <w:tcMar>
              <w:left w:w="-2" w:type="dxa"/>
            </w:tcMar>
          </w:tcPr>
          <w:p>
            <w:pPr>
              <w:pStyle w:val="Normal"/>
              <w:snapToGrid w:val="false"/>
              <w:spacing w:before="0" w:after="160"/>
              <w:rPr/>
            </w:pPr>
            <w:r>
              <w:rPr/>
            </w:r>
          </w:p>
        </w:tc>
        <w:tc>
          <w:tcPr>
            <w:tcW w:w="1080"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napToGrid w:val="false"/>
              <w:spacing w:before="0" w:after="160"/>
              <w:rPr/>
            </w:pPr>
            <w:r>
              <w:rPr/>
            </w:r>
          </w:p>
        </w:tc>
        <w:tc>
          <w:tcPr>
            <w:tcW w:w="374" w:type="dxa"/>
            <w:tcBorders>
              <w:top w:val="single" w:sz="2" w:space="0" w:color="000000"/>
              <w:bottom w:val="single" w:sz="2" w:space="0" w:color="000000"/>
              <w:insideH w:val="single" w:sz="2" w:space="0" w:color="000000"/>
            </w:tcBorders>
            <w:shd w:fill="auto" w:val="clear"/>
          </w:tcPr>
          <w:p>
            <w:pPr>
              <w:pStyle w:val="Normal"/>
              <w:snapToGrid w:val="false"/>
              <w:spacing w:before="0" w:after="160"/>
              <w:rPr/>
            </w:pPr>
            <w:r>
              <w:rPr/>
            </w:r>
          </w:p>
        </w:tc>
        <w:tc>
          <w:tcPr>
            <w:tcW w:w="1689" w:type="dxa"/>
            <w:tcBorders>
              <w:top w:val="single" w:sz="2" w:space="0" w:color="000000"/>
              <w:left w:val="single" w:sz="2" w:space="0" w:color="000000"/>
              <w:bottom w:val="single" w:sz="2" w:space="0" w:color="000000"/>
              <w:insideH w:val="single" w:sz="2" w:space="0" w:color="000000"/>
            </w:tcBorders>
            <w:shd w:fill="auto" w:val="clear"/>
            <w:tcMar>
              <w:left w:w="-2" w:type="dxa"/>
            </w:tcMar>
            <w:vAlign w:val="bottom"/>
          </w:tcPr>
          <w:p>
            <w:pPr>
              <w:pStyle w:val="Normal"/>
              <w:spacing w:before="0" w:after="0"/>
              <w:ind w:left="341" w:hanging="0"/>
              <w:rPr>
                <w:lang w:val="en-GB" w:eastAsia="en-GB"/>
              </w:rPr>
            </w:pPr>
            <w:r>
              <w:rPr>
                <w:lang w:val="en-GB" w:eastAsia="en-GB"/>
              </w:rPr>
              <w:drawing>
                <wp:inline distT="0" distB="0" distL="0" distR="0">
                  <wp:extent cx="640080" cy="109855"/>
                  <wp:effectExtent l="0" t="0" r="0" b="0"/>
                  <wp:docPr id="8" name="Picture 82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250" descr=""/>
                          <pic:cNvPicPr>
                            <a:picLocks noChangeAspect="1" noChangeArrowheads="1"/>
                          </pic:cNvPicPr>
                        </pic:nvPicPr>
                        <pic:blipFill>
                          <a:blip r:embed="rId9"/>
                          <a:srcRect l="-26" t="-157" r="-26" b="-157"/>
                          <a:stretch>
                            <a:fillRect/>
                          </a:stretch>
                        </pic:blipFill>
                        <pic:spPr bwMode="auto">
                          <a:xfrm>
                            <a:off x="0" y="0"/>
                            <a:ext cx="640080" cy="109855"/>
                          </a:xfrm>
                          <a:prstGeom prst="rect">
                            <a:avLst/>
                          </a:prstGeom>
                        </pic:spPr>
                      </pic:pic>
                    </a:graphicData>
                  </a:graphic>
                </wp:inline>
              </w:drawing>
            </w:r>
          </w:p>
        </w:tc>
        <w:tc>
          <w:tcPr>
            <w:tcW w:w="140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2" w:type="dxa"/>
            </w:tcMar>
            <w:vAlign w:val="bottom"/>
          </w:tcPr>
          <w:p>
            <w:pPr>
              <w:pStyle w:val="Normal"/>
              <w:spacing w:before="0" w:after="0"/>
              <w:ind w:left="154" w:hanging="0"/>
              <w:jc w:val="center"/>
              <w:rPr>
                <w:sz w:val="26"/>
              </w:rPr>
            </w:pPr>
            <w:r>
              <w:rPr>
                <w:sz w:val="26"/>
              </w:rPr>
              <w:t>x = 10</w:t>
            </w:r>
          </w:p>
        </w:tc>
      </w:tr>
      <w:tr>
        <w:trPr>
          <w:trHeight w:val="1015" w:hRule="atLeast"/>
        </w:trPr>
        <w:tc>
          <w:tcPr>
            <w:tcW w:w="2351"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15" w:right="209" w:firstLine="7"/>
              <w:jc w:val="both"/>
              <w:rPr>
                <w:lang w:val="fr-FR"/>
              </w:rPr>
            </w:pPr>
            <w:r>
              <w:rPr>
                <w:sz w:val="24"/>
                <w:lang w:val="fr-FR"/>
              </w:rPr>
              <w:t>Gestion des commandes et Livraisons Entrepôt</w:t>
            </w:r>
          </w:p>
        </w:tc>
        <w:tc>
          <w:tcPr>
            <w:tcW w:w="1575"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58" w:hanging="0"/>
              <w:jc w:val="center"/>
              <w:rPr>
                <w:sz w:val="18"/>
              </w:rPr>
            </w:pPr>
            <w:r>
              <w:rPr>
                <w:sz w:val="18"/>
              </w:rPr>
              <w:t>350/0</w:t>
            </w:r>
          </w:p>
        </w:tc>
        <w:tc>
          <w:tcPr>
            <w:tcW w:w="1080"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519" w:hanging="0"/>
              <w:rPr>
                <w:sz w:val="24"/>
              </w:rPr>
            </w:pPr>
            <w:r>
              <w:rPr>
                <w:sz w:val="24"/>
              </w:rPr>
              <w:t>75€</w:t>
            </w:r>
          </w:p>
        </w:tc>
        <w:tc>
          <w:tcPr>
            <w:tcW w:w="374" w:type="dxa"/>
            <w:tcBorders>
              <w:top w:val="single" w:sz="2" w:space="0" w:color="000000"/>
              <w:bottom w:val="single" w:sz="2" w:space="0" w:color="000000"/>
              <w:insideH w:val="single" w:sz="2" w:space="0" w:color="000000"/>
            </w:tcBorders>
            <w:shd w:fill="auto" w:val="clear"/>
          </w:tcPr>
          <w:p>
            <w:pPr>
              <w:pStyle w:val="Normal"/>
              <w:snapToGrid w:val="false"/>
              <w:spacing w:before="0" w:after="160"/>
              <w:rPr/>
            </w:pPr>
            <w:r>
              <w:rPr/>
            </w:r>
          </w:p>
        </w:tc>
        <w:tc>
          <w:tcPr>
            <w:tcW w:w="1689"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78" w:hanging="0"/>
              <w:jc w:val="center"/>
              <w:rPr>
                <w:sz w:val="24"/>
              </w:rPr>
            </w:pPr>
            <w:r>
              <w:rPr>
                <w:sz w:val="24"/>
              </w:rPr>
              <w:t>125€</w:t>
            </w:r>
          </w:p>
        </w:tc>
        <w:tc>
          <w:tcPr>
            <w:tcW w:w="140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2" w:type="dxa"/>
            </w:tcMar>
          </w:tcPr>
          <w:p>
            <w:pPr>
              <w:pStyle w:val="Normal"/>
              <w:snapToGrid w:val="false"/>
              <w:spacing w:before="0" w:after="160"/>
              <w:rPr/>
            </w:pPr>
            <w:r>
              <w:rPr/>
            </w:r>
          </w:p>
        </w:tc>
      </w:tr>
      <w:tr>
        <w:trPr>
          <w:trHeight w:val="1015" w:hRule="atLeast"/>
        </w:trPr>
        <w:tc>
          <w:tcPr>
            <w:tcW w:w="2351"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15" w:right="43" w:firstLine="14"/>
              <w:jc w:val="both"/>
              <w:rPr>
                <w:lang w:val="fr-FR"/>
              </w:rPr>
            </w:pPr>
            <w:r>
              <w:rPr>
                <w:sz w:val="24"/>
                <w:lang w:val="fr-FR"/>
              </w:rPr>
              <w:t>Préparation et saisie des précommandes sur l'outil CAROLINE</w:t>
            </w:r>
          </w:p>
        </w:tc>
        <w:tc>
          <w:tcPr>
            <w:tcW w:w="1575"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51" w:hanging="0"/>
              <w:jc w:val="center"/>
              <w:rPr>
                <w:sz w:val="18"/>
              </w:rPr>
            </w:pPr>
            <w:r>
              <w:rPr>
                <w:sz w:val="18"/>
              </w:rPr>
              <w:t>350/0</w:t>
            </w:r>
          </w:p>
        </w:tc>
        <w:tc>
          <w:tcPr>
            <w:tcW w:w="1080"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526" w:hanging="0"/>
              <w:rPr>
                <w:sz w:val="24"/>
              </w:rPr>
            </w:pPr>
            <w:r>
              <w:rPr>
                <w:sz w:val="24"/>
              </w:rPr>
              <w:t>75€</w:t>
            </w:r>
          </w:p>
        </w:tc>
        <w:tc>
          <w:tcPr>
            <w:tcW w:w="374" w:type="dxa"/>
            <w:tcBorders>
              <w:top w:val="single" w:sz="2" w:space="0" w:color="000000"/>
              <w:bottom w:val="single" w:sz="2" w:space="0" w:color="000000"/>
              <w:insideH w:val="single" w:sz="2" w:space="0" w:color="000000"/>
            </w:tcBorders>
            <w:shd w:fill="auto" w:val="clear"/>
          </w:tcPr>
          <w:p>
            <w:pPr>
              <w:pStyle w:val="Normal"/>
              <w:snapToGrid w:val="false"/>
              <w:spacing w:before="0" w:after="160"/>
              <w:rPr/>
            </w:pPr>
            <w:r>
              <w:rPr/>
            </w:r>
          </w:p>
        </w:tc>
        <w:tc>
          <w:tcPr>
            <w:tcW w:w="1689"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71" w:hanging="0"/>
              <w:jc w:val="center"/>
              <w:rPr>
                <w:sz w:val="24"/>
              </w:rPr>
            </w:pPr>
            <w:r>
              <w:rPr>
                <w:sz w:val="24"/>
              </w:rPr>
              <w:t>125€</w:t>
            </w:r>
          </w:p>
        </w:tc>
        <w:tc>
          <w:tcPr>
            <w:tcW w:w="140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2" w:type="dxa"/>
            </w:tcMar>
          </w:tcPr>
          <w:p>
            <w:pPr>
              <w:pStyle w:val="Normal"/>
              <w:spacing w:before="0" w:after="0"/>
              <w:ind w:left="183" w:hanging="0"/>
              <w:jc w:val="center"/>
              <w:rPr>
                <w:sz w:val="26"/>
              </w:rPr>
            </w:pPr>
            <w:r>
              <w:rPr>
                <w:sz w:val="26"/>
              </w:rPr>
              <w:t>175€</w:t>
            </w:r>
          </w:p>
        </w:tc>
      </w:tr>
      <w:tr>
        <w:trPr>
          <w:trHeight w:val="1015" w:hRule="atLeast"/>
        </w:trPr>
        <w:tc>
          <w:tcPr>
            <w:tcW w:w="2351"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15" w:hanging="0"/>
              <w:rPr>
                <w:lang w:val="fr-FR"/>
              </w:rPr>
            </w:pPr>
            <w:r>
              <w:rPr>
                <w:sz w:val="24"/>
                <w:lang w:val="fr-FR"/>
              </w:rPr>
              <w:t>Organisation du travail et tenue des rayons</w:t>
            </w:r>
          </w:p>
        </w:tc>
        <w:tc>
          <w:tcPr>
            <w:tcW w:w="1575"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166" w:hanging="0"/>
              <w:jc w:val="center"/>
              <w:rPr>
                <w:sz w:val="18"/>
              </w:rPr>
            </w:pPr>
            <w:r>
              <w:rPr>
                <w:sz w:val="18"/>
              </w:rPr>
              <w:t>300/0</w:t>
            </w:r>
          </w:p>
        </w:tc>
        <w:tc>
          <w:tcPr>
            <w:tcW w:w="1080"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pacing w:before="0" w:after="0"/>
              <w:ind w:left="526" w:hanging="0"/>
              <w:rPr>
                <w:sz w:val="26"/>
              </w:rPr>
            </w:pPr>
            <w:r>
              <w:rPr>
                <w:sz w:val="26"/>
              </w:rPr>
              <w:t>50€</w:t>
            </w:r>
          </w:p>
        </w:tc>
        <w:tc>
          <w:tcPr>
            <w:tcW w:w="374" w:type="dxa"/>
            <w:tcBorders>
              <w:top w:val="single" w:sz="2" w:space="0" w:color="000000"/>
              <w:bottom w:val="single" w:sz="2" w:space="0" w:color="000000"/>
              <w:insideH w:val="single" w:sz="2" w:space="0" w:color="000000"/>
            </w:tcBorders>
            <w:shd w:fill="auto" w:val="clear"/>
          </w:tcPr>
          <w:p>
            <w:pPr>
              <w:pStyle w:val="Normal"/>
              <w:snapToGrid w:val="false"/>
              <w:spacing w:before="0" w:after="160"/>
              <w:rPr/>
            </w:pPr>
            <w:r>
              <w:rPr/>
            </w:r>
          </w:p>
        </w:tc>
        <w:tc>
          <w:tcPr>
            <w:tcW w:w="1689" w:type="dxa"/>
            <w:tcBorders>
              <w:top w:val="single" w:sz="2" w:space="0" w:color="000000"/>
              <w:left w:val="single" w:sz="2" w:space="0" w:color="000000"/>
              <w:bottom w:val="single" w:sz="2" w:space="0" w:color="000000"/>
              <w:insideH w:val="single" w:sz="2" w:space="0" w:color="000000"/>
            </w:tcBorders>
            <w:shd w:fill="auto" w:val="clear"/>
            <w:tcMar>
              <w:left w:w="-2" w:type="dxa"/>
            </w:tcMar>
          </w:tcPr>
          <w:p>
            <w:pPr>
              <w:pStyle w:val="Normal"/>
              <w:snapToGrid w:val="false"/>
              <w:spacing w:before="0" w:after="160"/>
              <w:rPr/>
            </w:pPr>
            <w:r>
              <w:rPr/>
            </w:r>
          </w:p>
        </w:tc>
        <w:tc>
          <w:tcPr>
            <w:tcW w:w="140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2" w:type="dxa"/>
            </w:tcMar>
          </w:tcPr>
          <w:p>
            <w:pPr>
              <w:pStyle w:val="Normal"/>
              <w:spacing w:before="0" w:after="0"/>
              <w:ind w:left="183" w:hanging="0"/>
              <w:jc w:val="center"/>
              <w:rPr>
                <w:sz w:val="26"/>
              </w:rPr>
            </w:pPr>
            <w:r>
              <w:rPr>
                <w:sz w:val="26"/>
              </w:rPr>
              <w:t>150€</w:t>
            </w:r>
          </w:p>
        </w:tc>
      </w:tr>
    </w:tbl>
    <w:p>
      <w:pPr>
        <w:pStyle w:val="Normal"/>
        <w:ind w:left="153" w:hanging="10"/>
        <w:rPr>
          <w:sz w:val="26"/>
        </w:rPr>
      </w:pPr>
      <w:r>
        <w:rPr>
          <w:sz w:val="26"/>
        </w:rPr>
        <w:t>Note obtenue = X</w:t>
      </w:r>
    </w:p>
    <w:p>
      <w:pPr>
        <w:pStyle w:val="Normal"/>
        <w:spacing w:before="0" w:after="0"/>
        <w:ind w:left="153" w:hanging="10"/>
        <w:rPr>
          <w:lang w:val="fr-FR"/>
        </w:rPr>
      </w:pPr>
      <w:r>
        <w:rPr>
          <w:sz w:val="28"/>
          <w:u w:val="single" w:color="000000"/>
          <w:lang w:val="fr-FR"/>
        </w:rPr>
        <w:t>Pour la Caisse Centrale I Accueil</w:t>
      </w:r>
    </w:p>
    <w:tbl>
      <w:tblPr>
        <w:tblW w:w="8468" w:type="dxa"/>
        <w:jc w:val="left"/>
        <w:tblInd w:w="41" w:type="dxa"/>
        <w:tblBorders>
          <w:top w:val="single" w:sz="2" w:space="0" w:color="000000"/>
          <w:left w:val="single" w:sz="2" w:space="0" w:color="000000"/>
          <w:bottom w:val="single" w:sz="2" w:space="0" w:color="000000"/>
          <w:insideH w:val="single" w:sz="2" w:space="0" w:color="000000"/>
        </w:tblBorders>
        <w:tblCellMar>
          <w:top w:w="43" w:type="dxa"/>
          <w:left w:w="4" w:type="dxa"/>
          <w:bottom w:w="37" w:type="dxa"/>
          <w:right w:w="151" w:type="dxa"/>
        </w:tblCellMar>
      </w:tblPr>
      <w:tblGrid>
        <w:gridCol w:w="2343"/>
        <w:gridCol w:w="1576"/>
        <w:gridCol w:w="1065"/>
        <w:gridCol w:w="379"/>
        <w:gridCol w:w="1694"/>
        <w:gridCol w:w="1411"/>
      </w:tblGrid>
      <w:tr>
        <w:trPr>
          <w:trHeight w:val="593" w:hRule="atLeast"/>
        </w:trPr>
        <w:tc>
          <w:tcPr>
            <w:tcW w:w="2343" w:type="dxa"/>
            <w:vMerge w:val="restart"/>
            <w:tcBorders>
              <w:top w:val="single" w:sz="2" w:space="0" w:color="000000"/>
              <w:left w:val="single" w:sz="2" w:space="0" w:color="000000"/>
              <w:bottom w:val="single" w:sz="2" w:space="0" w:color="000000"/>
              <w:insideH w:val="single" w:sz="2" w:space="0" w:color="000000"/>
            </w:tcBorders>
            <w:shd w:fill="auto" w:val="clear"/>
            <w:tcMar>
              <w:left w:w="4" w:type="dxa"/>
            </w:tcMar>
            <w:vAlign w:val="center"/>
          </w:tcPr>
          <w:p>
            <w:pPr>
              <w:pStyle w:val="Normal"/>
              <w:spacing w:before="0" w:after="0"/>
              <w:ind w:left="144" w:hanging="0"/>
              <w:jc w:val="center"/>
              <w:rPr>
                <w:sz w:val="26"/>
              </w:rPr>
            </w:pPr>
            <w:r>
              <w:rPr>
                <w:sz w:val="26"/>
              </w:rPr>
              <w:t>Critères</w:t>
            </w:r>
          </w:p>
        </w:tc>
        <w:tc>
          <w:tcPr>
            <w:tcW w:w="1576" w:type="dxa"/>
            <w:vMerge w:val="restart"/>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137" w:hanging="0"/>
              <w:jc w:val="center"/>
              <w:rPr>
                <w:sz w:val="26"/>
              </w:rPr>
            </w:pPr>
            <w:r>
              <w:rPr>
                <w:sz w:val="26"/>
              </w:rPr>
              <w:t>Répartition</w:t>
            </w:r>
          </w:p>
        </w:tc>
        <w:tc>
          <w:tcPr>
            <w:tcW w:w="1065"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napToGrid w:val="false"/>
              <w:spacing w:before="0" w:after="160"/>
              <w:rPr/>
            </w:pPr>
            <w:r>
              <w:rPr/>
            </w:r>
          </w:p>
        </w:tc>
        <w:tc>
          <w:tcPr>
            <w:tcW w:w="3484" w:type="dxa"/>
            <w:gridSpan w:val="3"/>
            <w:tcBorders>
              <w:top w:val="single" w:sz="2" w:space="0" w:color="000000"/>
              <w:bottom w:val="single" w:sz="2" w:space="0" w:color="000000"/>
              <w:right w:val="single" w:sz="2" w:space="0" w:color="000000"/>
              <w:insideH w:val="single" w:sz="2" w:space="0" w:color="000000"/>
              <w:insideV w:val="single" w:sz="2" w:space="0" w:color="000000"/>
            </w:tcBorders>
            <w:shd w:fill="auto" w:val="clear"/>
            <w:vAlign w:val="center"/>
          </w:tcPr>
          <w:p>
            <w:pPr>
              <w:pStyle w:val="Normal"/>
              <w:spacing w:before="0" w:after="0"/>
              <w:rPr>
                <w:sz w:val="26"/>
              </w:rPr>
            </w:pPr>
            <w:r>
              <w:rPr>
                <w:sz w:val="26"/>
              </w:rPr>
              <w:t>Prime par note obtenue</w:t>
            </w:r>
          </w:p>
        </w:tc>
      </w:tr>
      <w:tr>
        <w:trPr>
          <w:trHeight w:val="545" w:hRule="atLeast"/>
        </w:trPr>
        <w:tc>
          <w:tcPr>
            <w:tcW w:w="2343" w:type="dxa"/>
            <w:vMerge w:val="continue"/>
            <w:tcBorders>
              <w:left w:val="single" w:sz="2" w:space="0" w:color="000000"/>
              <w:bottom w:val="single" w:sz="2" w:space="0" w:color="000000"/>
              <w:insideH w:val="single" w:sz="2" w:space="0" w:color="000000"/>
            </w:tcBorders>
            <w:shd w:fill="auto" w:val="clear"/>
            <w:tcMar>
              <w:left w:w="4" w:type="dxa"/>
            </w:tcMar>
          </w:tcPr>
          <w:p>
            <w:pPr>
              <w:pStyle w:val="Normal"/>
              <w:snapToGrid w:val="false"/>
              <w:spacing w:before="0" w:after="160"/>
              <w:rPr/>
            </w:pPr>
            <w:r>
              <w:rPr/>
            </w:r>
          </w:p>
        </w:tc>
        <w:tc>
          <w:tcPr>
            <w:tcW w:w="1576" w:type="dxa"/>
            <w:vMerge w:val="continue"/>
            <w:tcBorders>
              <w:left w:val="single" w:sz="2" w:space="0" w:color="000000"/>
              <w:bottom w:val="single" w:sz="2" w:space="0" w:color="000000"/>
              <w:insideH w:val="single" w:sz="2" w:space="0" w:color="000000"/>
            </w:tcBorders>
            <w:shd w:fill="auto" w:val="clear"/>
            <w:tcMar>
              <w:left w:w="4" w:type="dxa"/>
            </w:tcMar>
          </w:tcPr>
          <w:p>
            <w:pPr>
              <w:pStyle w:val="Normal"/>
              <w:snapToGrid w:val="false"/>
              <w:spacing w:before="0" w:after="160"/>
              <w:rPr/>
            </w:pPr>
            <w:r>
              <w:rPr/>
            </w:r>
          </w:p>
        </w:tc>
        <w:tc>
          <w:tcPr>
            <w:tcW w:w="1065"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napToGrid w:val="false"/>
              <w:spacing w:before="0" w:after="160"/>
              <w:rPr/>
            </w:pPr>
            <w:r>
              <w:rPr/>
            </w:r>
          </w:p>
        </w:tc>
        <w:tc>
          <w:tcPr>
            <w:tcW w:w="379" w:type="dxa"/>
            <w:tcBorders>
              <w:top w:val="single" w:sz="2" w:space="0" w:color="000000"/>
              <w:bottom w:val="single" w:sz="2" w:space="0" w:color="000000"/>
              <w:insideH w:val="single" w:sz="2" w:space="0" w:color="000000"/>
            </w:tcBorders>
            <w:shd w:fill="auto" w:val="clear"/>
          </w:tcPr>
          <w:p>
            <w:pPr>
              <w:pStyle w:val="Normal"/>
              <w:snapToGrid w:val="false"/>
              <w:spacing w:before="0" w:after="160"/>
              <w:rPr/>
            </w:pPr>
            <w:r>
              <w:rPr/>
            </w:r>
          </w:p>
        </w:tc>
        <w:tc>
          <w:tcPr>
            <w:tcW w:w="1694" w:type="dxa"/>
            <w:tcBorders>
              <w:top w:val="single" w:sz="2" w:space="0" w:color="000000"/>
              <w:left w:val="single" w:sz="2" w:space="0" w:color="000000"/>
              <w:bottom w:val="single" w:sz="2" w:space="0" w:color="000000"/>
              <w:insideH w:val="single" w:sz="2" w:space="0" w:color="000000"/>
            </w:tcBorders>
            <w:shd w:fill="auto" w:val="clear"/>
            <w:tcMar>
              <w:left w:w="4" w:type="dxa"/>
            </w:tcMar>
            <w:vAlign w:val="bottom"/>
          </w:tcPr>
          <w:p>
            <w:pPr>
              <w:pStyle w:val="Normal"/>
              <w:spacing w:before="0" w:after="0"/>
              <w:ind w:left="346" w:hanging="0"/>
              <w:rPr>
                <w:lang w:val="en-GB" w:eastAsia="en-GB"/>
              </w:rPr>
            </w:pPr>
            <w:r>
              <w:rPr>
                <w:lang w:val="en-GB" w:eastAsia="en-GB"/>
              </w:rPr>
              <w:drawing>
                <wp:inline distT="0" distB="0" distL="0" distR="0">
                  <wp:extent cx="635000" cy="109855"/>
                  <wp:effectExtent l="0" t="0" r="0" b="0"/>
                  <wp:docPr id="9" name="Picture 8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241" descr=""/>
                          <pic:cNvPicPr>
                            <a:picLocks noChangeAspect="1" noChangeArrowheads="1"/>
                          </pic:cNvPicPr>
                        </pic:nvPicPr>
                        <pic:blipFill>
                          <a:blip r:embed="rId10"/>
                          <a:srcRect l="-27" t="-157" r="-27" b="-157"/>
                          <a:stretch>
                            <a:fillRect/>
                          </a:stretch>
                        </pic:blipFill>
                        <pic:spPr bwMode="auto">
                          <a:xfrm>
                            <a:off x="0" y="0"/>
                            <a:ext cx="635000" cy="109855"/>
                          </a:xfrm>
                          <a:prstGeom prst="rect">
                            <a:avLst/>
                          </a:prstGeom>
                        </pic:spPr>
                      </pic:pic>
                    </a:graphicData>
                  </a:graphic>
                </wp:inline>
              </w:drawing>
            </w:r>
          </w:p>
        </w:tc>
        <w:tc>
          <w:tcPr>
            <w:tcW w:w="1411"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4" w:type="dxa"/>
            </w:tcMar>
            <w:vAlign w:val="bottom"/>
          </w:tcPr>
          <w:p>
            <w:pPr>
              <w:pStyle w:val="Normal"/>
              <w:spacing w:before="0" w:after="0"/>
              <w:ind w:left="140" w:hanging="0"/>
              <w:jc w:val="center"/>
              <w:rPr>
                <w:sz w:val="26"/>
              </w:rPr>
            </w:pPr>
            <w:r>
              <w:rPr>
                <w:sz w:val="26"/>
              </w:rPr>
              <w:t>x = 10</w:t>
            </w:r>
          </w:p>
        </w:tc>
      </w:tr>
      <w:tr>
        <w:trPr>
          <w:trHeight w:val="766" w:hRule="atLeast"/>
        </w:trPr>
        <w:tc>
          <w:tcPr>
            <w:tcW w:w="2343"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108" w:right="94" w:hanging="0"/>
              <w:rPr>
                <w:sz w:val="24"/>
              </w:rPr>
            </w:pPr>
            <w:r>
              <w:rPr>
                <w:sz w:val="24"/>
              </w:rPr>
              <w:t>Gestion</w:t>
              <w:tab/>
              <w:t>du argent</w:t>
            </w:r>
          </w:p>
        </w:tc>
        <w:tc>
          <w:tcPr>
            <w:tcW w:w="1576" w:type="dxa"/>
            <w:tcBorders>
              <w:top w:val="single" w:sz="2" w:space="0" w:color="000000"/>
              <w:left w:val="single" w:sz="2" w:space="0" w:color="000000"/>
              <w:bottom w:val="single" w:sz="2" w:space="0" w:color="000000"/>
              <w:insideH w:val="single" w:sz="2" w:space="0" w:color="000000"/>
            </w:tcBorders>
            <w:shd w:fill="auto" w:val="clear"/>
            <w:tcMar>
              <w:left w:w="4" w:type="dxa"/>
            </w:tcMar>
            <w:vAlign w:val="center"/>
          </w:tcPr>
          <w:p>
            <w:pPr>
              <w:pStyle w:val="Normal"/>
              <w:spacing w:before="0" w:after="0"/>
              <w:ind w:left="137" w:hanging="0"/>
              <w:jc w:val="center"/>
              <w:rPr>
                <w:sz w:val="18"/>
              </w:rPr>
            </w:pPr>
            <w:r>
              <w:rPr>
                <w:sz w:val="18"/>
              </w:rPr>
              <w:t>350/0</w:t>
            </w:r>
          </w:p>
        </w:tc>
        <w:tc>
          <w:tcPr>
            <w:tcW w:w="1065" w:type="dxa"/>
            <w:tcBorders>
              <w:top w:val="single" w:sz="2" w:space="0" w:color="000000"/>
              <w:left w:val="single" w:sz="2" w:space="0" w:color="000000"/>
              <w:bottom w:val="single" w:sz="2" w:space="0" w:color="000000"/>
              <w:insideH w:val="single" w:sz="2" w:space="0" w:color="000000"/>
            </w:tcBorders>
            <w:shd w:fill="auto" w:val="clear"/>
            <w:tcMar>
              <w:left w:w="4" w:type="dxa"/>
            </w:tcMar>
            <w:vAlign w:val="center"/>
          </w:tcPr>
          <w:p>
            <w:pPr>
              <w:pStyle w:val="Normal"/>
              <w:spacing w:before="0" w:after="0"/>
              <w:ind w:left="511" w:hanging="0"/>
              <w:rPr>
                <w:sz w:val="24"/>
              </w:rPr>
            </w:pPr>
            <w:r>
              <w:rPr>
                <w:sz w:val="24"/>
              </w:rPr>
              <w:t>75€</w:t>
            </w:r>
          </w:p>
        </w:tc>
        <w:tc>
          <w:tcPr>
            <w:tcW w:w="379" w:type="dxa"/>
            <w:tcBorders>
              <w:top w:val="single" w:sz="2" w:space="0" w:color="000000"/>
              <w:bottom w:val="single" w:sz="2" w:space="0" w:color="000000"/>
              <w:insideH w:val="single" w:sz="2" w:space="0" w:color="000000"/>
            </w:tcBorders>
            <w:shd w:fill="auto" w:val="clear"/>
            <w:vAlign w:val="center"/>
          </w:tcPr>
          <w:p>
            <w:pPr>
              <w:pStyle w:val="Normal"/>
              <w:snapToGrid w:val="false"/>
              <w:spacing w:before="0" w:after="160"/>
              <w:rPr/>
            </w:pPr>
            <w:r>
              <w:rPr/>
            </w:r>
          </w:p>
        </w:tc>
        <w:tc>
          <w:tcPr>
            <w:tcW w:w="1694" w:type="dxa"/>
            <w:tcBorders>
              <w:top w:val="single" w:sz="2" w:space="0" w:color="000000"/>
              <w:left w:val="single" w:sz="2" w:space="0" w:color="000000"/>
              <w:bottom w:val="single" w:sz="2" w:space="0" w:color="000000"/>
              <w:insideH w:val="single" w:sz="2" w:space="0" w:color="000000"/>
            </w:tcBorders>
            <w:shd w:fill="auto" w:val="clear"/>
            <w:tcMar>
              <w:left w:w="4" w:type="dxa"/>
            </w:tcMar>
            <w:vAlign w:val="center"/>
          </w:tcPr>
          <w:p>
            <w:pPr>
              <w:pStyle w:val="Normal"/>
              <w:spacing w:before="0" w:after="0"/>
              <w:ind w:left="168" w:hanging="0"/>
              <w:jc w:val="center"/>
              <w:rPr>
                <w:sz w:val="24"/>
              </w:rPr>
            </w:pPr>
            <w:r>
              <w:rPr>
                <w:sz w:val="24"/>
              </w:rPr>
              <w:t>125€</w:t>
            </w:r>
          </w:p>
        </w:tc>
        <w:tc>
          <w:tcPr>
            <w:tcW w:w="1411"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4" w:type="dxa"/>
            </w:tcMar>
            <w:vAlign w:val="center"/>
          </w:tcPr>
          <w:p>
            <w:pPr>
              <w:pStyle w:val="Normal"/>
              <w:spacing w:before="0" w:after="0"/>
              <w:ind w:left="168" w:hanging="0"/>
              <w:jc w:val="center"/>
              <w:rPr>
                <w:sz w:val="24"/>
              </w:rPr>
            </w:pPr>
            <w:r>
              <w:rPr>
                <w:sz w:val="24"/>
              </w:rPr>
              <w:t>175€</w:t>
            </w:r>
          </w:p>
        </w:tc>
      </w:tr>
      <w:tr>
        <w:trPr>
          <w:trHeight w:val="1013" w:hRule="atLeast"/>
        </w:trPr>
        <w:tc>
          <w:tcPr>
            <w:tcW w:w="2343"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101" w:hanging="0"/>
              <w:rPr>
                <w:lang w:val="fr-FR"/>
              </w:rPr>
            </w:pPr>
            <w:r>
              <w:rPr>
                <w:sz w:val="24"/>
                <w:lang w:val="fr-FR"/>
              </w:rPr>
              <w:t>Organisation et gestion de la ligne de caisse</w:t>
            </w:r>
          </w:p>
        </w:tc>
        <w:tc>
          <w:tcPr>
            <w:tcW w:w="1576"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137" w:hanging="0"/>
              <w:jc w:val="center"/>
              <w:rPr>
                <w:sz w:val="18"/>
              </w:rPr>
            </w:pPr>
            <w:r>
              <w:rPr>
                <w:sz w:val="18"/>
              </w:rPr>
              <w:t>350/0</w:t>
            </w:r>
          </w:p>
        </w:tc>
        <w:tc>
          <w:tcPr>
            <w:tcW w:w="1065"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519" w:hanging="0"/>
              <w:rPr>
                <w:sz w:val="24"/>
              </w:rPr>
            </w:pPr>
            <w:r>
              <w:rPr>
                <w:sz w:val="24"/>
              </w:rPr>
              <w:t>75€</w:t>
            </w:r>
          </w:p>
        </w:tc>
        <w:tc>
          <w:tcPr>
            <w:tcW w:w="379" w:type="dxa"/>
            <w:tcBorders>
              <w:top w:val="single" w:sz="2" w:space="0" w:color="000000"/>
              <w:bottom w:val="single" w:sz="2" w:space="0" w:color="000000"/>
              <w:insideH w:val="single" w:sz="2" w:space="0" w:color="000000"/>
            </w:tcBorders>
            <w:shd w:fill="auto" w:val="clear"/>
          </w:tcPr>
          <w:p>
            <w:pPr>
              <w:pStyle w:val="Normal"/>
              <w:snapToGrid w:val="false"/>
              <w:spacing w:before="0" w:after="160"/>
              <w:rPr/>
            </w:pPr>
            <w:r>
              <w:rPr/>
            </w:r>
          </w:p>
        </w:tc>
        <w:tc>
          <w:tcPr>
            <w:tcW w:w="1694"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168" w:hanging="0"/>
              <w:jc w:val="center"/>
              <w:rPr>
                <w:sz w:val="26"/>
              </w:rPr>
            </w:pPr>
            <w:r>
              <w:rPr>
                <w:sz w:val="26"/>
              </w:rPr>
              <w:t>125€</w:t>
            </w:r>
          </w:p>
        </w:tc>
        <w:tc>
          <w:tcPr>
            <w:tcW w:w="1411"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4" w:type="dxa"/>
            </w:tcMar>
          </w:tcPr>
          <w:p>
            <w:pPr>
              <w:pStyle w:val="Normal"/>
              <w:spacing w:before="0" w:after="0"/>
              <w:ind w:left="168" w:hanging="0"/>
              <w:jc w:val="center"/>
              <w:rPr>
                <w:sz w:val="26"/>
              </w:rPr>
            </w:pPr>
            <w:r>
              <w:rPr>
                <w:sz w:val="26"/>
              </w:rPr>
              <w:t>175€</w:t>
            </w:r>
          </w:p>
        </w:tc>
      </w:tr>
      <w:tr>
        <w:trPr>
          <w:trHeight w:val="1015" w:hRule="atLeast"/>
        </w:trPr>
        <w:tc>
          <w:tcPr>
            <w:tcW w:w="2343"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108" w:right="166" w:hanging="0"/>
              <w:jc w:val="both"/>
              <w:rPr>
                <w:lang w:val="fr-FR"/>
              </w:rPr>
            </w:pPr>
            <w:r>
              <w:rPr>
                <w:sz w:val="24"/>
                <w:lang w:val="fr-FR"/>
              </w:rPr>
              <w:t>Elaboration des plannings de caisse sur l'outil PARM</w:t>
            </w:r>
          </w:p>
        </w:tc>
        <w:tc>
          <w:tcPr>
            <w:tcW w:w="1576"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137" w:hanging="0"/>
              <w:jc w:val="center"/>
              <w:rPr>
                <w:sz w:val="20"/>
              </w:rPr>
            </w:pPr>
            <w:r>
              <w:rPr>
                <w:sz w:val="20"/>
              </w:rPr>
              <w:t>300/0</w:t>
            </w:r>
          </w:p>
        </w:tc>
        <w:tc>
          <w:tcPr>
            <w:tcW w:w="1065"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pacing w:before="0" w:after="0"/>
              <w:ind w:left="511" w:hanging="0"/>
              <w:rPr>
                <w:sz w:val="26"/>
              </w:rPr>
            </w:pPr>
            <w:r>
              <w:rPr>
                <w:sz w:val="26"/>
              </w:rPr>
              <w:t>50€</w:t>
            </w:r>
          </w:p>
        </w:tc>
        <w:tc>
          <w:tcPr>
            <w:tcW w:w="379" w:type="dxa"/>
            <w:tcBorders>
              <w:top w:val="single" w:sz="2" w:space="0" w:color="000000"/>
              <w:bottom w:val="single" w:sz="2" w:space="0" w:color="000000"/>
              <w:insideH w:val="single" w:sz="2" w:space="0" w:color="000000"/>
            </w:tcBorders>
            <w:shd w:fill="auto" w:val="clear"/>
          </w:tcPr>
          <w:p>
            <w:pPr>
              <w:pStyle w:val="Normal"/>
              <w:snapToGrid w:val="false"/>
              <w:spacing w:before="0" w:after="160"/>
              <w:rPr/>
            </w:pPr>
            <w:r>
              <w:rPr/>
            </w:r>
          </w:p>
        </w:tc>
        <w:tc>
          <w:tcPr>
            <w:tcW w:w="1694" w:type="dxa"/>
            <w:tcBorders>
              <w:top w:val="single" w:sz="2" w:space="0" w:color="000000"/>
              <w:left w:val="single" w:sz="2" w:space="0" w:color="000000"/>
              <w:bottom w:val="single" w:sz="2" w:space="0" w:color="000000"/>
              <w:insideH w:val="single" w:sz="2" w:space="0" w:color="000000"/>
            </w:tcBorders>
            <w:shd w:fill="auto" w:val="clear"/>
            <w:tcMar>
              <w:left w:w="4" w:type="dxa"/>
            </w:tcMar>
          </w:tcPr>
          <w:p>
            <w:pPr>
              <w:pStyle w:val="Normal"/>
              <w:snapToGrid w:val="false"/>
              <w:spacing w:before="0" w:after="160"/>
              <w:rPr/>
            </w:pPr>
            <w:r>
              <w:rPr/>
            </w:r>
          </w:p>
        </w:tc>
        <w:tc>
          <w:tcPr>
            <w:tcW w:w="1411"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4" w:type="dxa"/>
            </w:tcMar>
          </w:tcPr>
          <w:p>
            <w:pPr>
              <w:pStyle w:val="Normal"/>
              <w:spacing w:before="0" w:after="0"/>
              <w:ind w:left="161" w:hanging="0"/>
              <w:jc w:val="center"/>
              <w:rPr>
                <w:sz w:val="26"/>
              </w:rPr>
            </w:pPr>
            <w:r>
              <w:rPr>
                <w:sz w:val="26"/>
              </w:rPr>
              <w:t>150€</w:t>
            </w:r>
          </w:p>
        </w:tc>
      </w:tr>
    </w:tbl>
    <w:p>
      <w:pPr>
        <w:pStyle w:val="Normal"/>
        <w:ind w:left="153" w:hanging="10"/>
        <w:rPr>
          <w:sz w:val="26"/>
        </w:rPr>
      </w:pPr>
      <w:r>
        <w:rPr>
          <w:sz w:val="26"/>
        </w:rPr>
        <w:t>Note obtenue = X</w:t>
      </w:r>
    </w:p>
    <w:p>
      <w:pPr>
        <w:pStyle w:val="Normal"/>
        <w:spacing w:before="0" w:after="0"/>
        <w:ind w:left="130" w:hanging="0"/>
        <w:rPr>
          <w:sz w:val="28"/>
          <w:u w:val="single" w:color="000000"/>
        </w:rPr>
      </w:pPr>
      <w:r>
        <w:rPr>
          <w:sz w:val="28"/>
          <w:u w:val="single" w:color="000000"/>
        </w:rPr>
        <w:t>Pour le Service Administratif</w:t>
      </w:r>
    </w:p>
    <w:tbl>
      <w:tblPr>
        <w:tblW w:w="8471" w:type="dxa"/>
        <w:jc w:val="left"/>
        <w:tblInd w:w="17" w:type="dxa"/>
        <w:tblBorders>
          <w:top w:val="single" w:sz="2" w:space="0" w:color="000000"/>
          <w:left w:val="single" w:sz="2" w:space="0" w:color="000000"/>
          <w:bottom w:val="single" w:sz="2" w:space="0" w:color="000000"/>
          <w:insideH w:val="single" w:sz="2" w:space="0" w:color="000000"/>
        </w:tblBorders>
        <w:tblCellMar>
          <w:top w:w="50" w:type="dxa"/>
          <w:left w:w="101" w:type="dxa"/>
          <w:bottom w:w="32" w:type="dxa"/>
          <w:right w:w="202" w:type="dxa"/>
        </w:tblCellMar>
      </w:tblPr>
      <w:tblGrid>
        <w:gridCol w:w="2415"/>
        <w:gridCol w:w="1587"/>
        <w:gridCol w:w="1416"/>
        <w:gridCol w:w="1680"/>
        <w:gridCol w:w="1373"/>
      </w:tblGrid>
      <w:tr>
        <w:trPr>
          <w:trHeight w:val="598" w:hRule="atLeast"/>
        </w:trPr>
        <w:tc>
          <w:tcPr>
            <w:tcW w:w="2415" w:type="dxa"/>
            <w:vMerge w:val="restart"/>
            <w:tcBorders>
              <w:top w:val="single" w:sz="2" w:space="0" w:color="000000"/>
              <w:left w:val="single" w:sz="2" w:space="0" w:color="000000"/>
              <w:bottom w:val="single" w:sz="2" w:space="0" w:color="000000"/>
              <w:insideH w:val="single" w:sz="2" w:space="0" w:color="000000"/>
            </w:tcBorders>
            <w:shd w:fill="auto" w:val="clear"/>
            <w:tcMar>
              <w:left w:w="101" w:type="dxa"/>
            </w:tcMar>
            <w:vAlign w:val="center"/>
          </w:tcPr>
          <w:p>
            <w:pPr>
              <w:pStyle w:val="Normal"/>
              <w:spacing w:before="0" w:after="0"/>
              <w:ind w:left="94" w:hanging="0"/>
              <w:jc w:val="center"/>
              <w:rPr>
                <w:sz w:val="28"/>
              </w:rPr>
            </w:pPr>
            <w:r>
              <w:rPr>
                <w:sz w:val="28"/>
              </w:rPr>
              <w:t>Critères</w:t>
            </w:r>
          </w:p>
        </w:tc>
        <w:tc>
          <w:tcPr>
            <w:tcW w:w="1587" w:type="dxa"/>
            <w:vMerge w:val="restart"/>
            <w:tcBorders>
              <w:top w:val="single" w:sz="2" w:space="0" w:color="000000"/>
              <w:left w:val="single" w:sz="2" w:space="0" w:color="000000"/>
              <w:bottom w:val="single" w:sz="2" w:space="0" w:color="000000"/>
              <w:insideH w:val="single" w:sz="2" w:space="0" w:color="000000"/>
            </w:tcBorders>
            <w:shd w:fill="auto" w:val="clear"/>
            <w:tcMar>
              <w:left w:w="101" w:type="dxa"/>
            </w:tcMar>
            <w:vAlign w:val="center"/>
          </w:tcPr>
          <w:p>
            <w:pPr>
              <w:pStyle w:val="Normal"/>
              <w:spacing w:before="0" w:after="0"/>
              <w:ind w:left="91" w:hanging="0"/>
              <w:jc w:val="center"/>
              <w:rPr>
                <w:sz w:val="26"/>
              </w:rPr>
            </w:pPr>
            <w:r>
              <w:rPr>
                <w:sz w:val="26"/>
              </w:rPr>
              <w:t>Répartition</w:t>
            </w:r>
          </w:p>
          <w:p>
            <w:pPr>
              <w:pStyle w:val="Normal"/>
              <w:spacing w:before="0" w:after="0"/>
              <w:ind w:left="379" w:hanging="0"/>
              <w:jc w:val="center"/>
              <w:rPr>
                <w:sz w:val="16"/>
              </w:rPr>
            </w:pPr>
            <w:r>
              <w:rPr>
                <w:sz w:val="16"/>
              </w:rPr>
              <w:t>O/</w:t>
            </w:r>
          </w:p>
        </w:tc>
        <w:tc>
          <w:tcPr>
            <w:tcW w:w="4469" w:type="dxa"/>
            <w:gridSpan w:val="3"/>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01" w:type="dxa"/>
            </w:tcMar>
            <w:vAlign w:val="center"/>
          </w:tcPr>
          <w:p>
            <w:pPr>
              <w:pStyle w:val="Normal"/>
              <w:spacing w:before="0" w:after="0"/>
              <w:ind w:left="105" w:hanging="0"/>
              <w:jc w:val="center"/>
              <w:rPr>
                <w:sz w:val="26"/>
              </w:rPr>
            </w:pPr>
            <w:r>
              <w:rPr>
                <w:sz w:val="26"/>
              </w:rPr>
              <w:t>Prime par note obtenue</w:t>
            </w:r>
          </w:p>
        </w:tc>
      </w:tr>
      <w:tr>
        <w:trPr>
          <w:trHeight w:val="555" w:hRule="atLeast"/>
        </w:trPr>
        <w:tc>
          <w:tcPr>
            <w:tcW w:w="2415" w:type="dxa"/>
            <w:vMerge w:val="continue"/>
            <w:tcBorders>
              <w:left w:val="single" w:sz="2" w:space="0" w:color="000000"/>
              <w:bottom w:val="single" w:sz="2" w:space="0" w:color="000000"/>
              <w:insideH w:val="single" w:sz="2" w:space="0" w:color="000000"/>
            </w:tcBorders>
            <w:shd w:fill="auto" w:val="clear"/>
            <w:tcMar>
              <w:left w:w="101" w:type="dxa"/>
            </w:tcMar>
          </w:tcPr>
          <w:p>
            <w:pPr>
              <w:pStyle w:val="Normal"/>
              <w:snapToGrid w:val="false"/>
              <w:spacing w:before="0" w:after="160"/>
              <w:rPr/>
            </w:pPr>
            <w:r>
              <w:rPr/>
            </w:r>
          </w:p>
        </w:tc>
        <w:tc>
          <w:tcPr>
            <w:tcW w:w="1587" w:type="dxa"/>
            <w:vMerge w:val="continue"/>
            <w:tcBorders>
              <w:left w:val="single" w:sz="2" w:space="0" w:color="000000"/>
              <w:bottom w:val="single" w:sz="2" w:space="0" w:color="000000"/>
              <w:insideH w:val="single" w:sz="2" w:space="0" w:color="000000"/>
            </w:tcBorders>
            <w:shd w:fill="auto" w:val="clear"/>
            <w:tcMar>
              <w:left w:w="101" w:type="dxa"/>
            </w:tcMar>
          </w:tcPr>
          <w:p>
            <w:pPr>
              <w:pStyle w:val="Normal"/>
              <w:snapToGrid w:val="false"/>
              <w:spacing w:before="0" w:after="160"/>
              <w:rPr/>
            </w:pPr>
            <w:r>
              <w:rPr/>
            </w:r>
          </w:p>
        </w:tc>
        <w:tc>
          <w:tcPr>
            <w:tcW w:w="1416" w:type="dxa"/>
            <w:tcBorders>
              <w:top w:val="single" w:sz="2" w:space="0" w:color="000000"/>
              <w:left w:val="single" w:sz="2" w:space="0" w:color="000000"/>
              <w:bottom w:val="single" w:sz="2" w:space="0" w:color="000000"/>
              <w:insideH w:val="single" w:sz="2" w:space="0" w:color="000000"/>
            </w:tcBorders>
            <w:shd w:fill="auto" w:val="clear"/>
            <w:tcMar>
              <w:left w:w="101" w:type="dxa"/>
            </w:tcMar>
            <w:vAlign w:val="bottom"/>
          </w:tcPr>
          <w:p>
            <w:pPr>
              <w:pStyle w:val="Normal"/>
              <w:spacing w:before="0" w:after="0"/>
              <w:ind w:left="163" w:hanging="0"/>
              <w:rPr>
                <w:lang w:val="en-GB" w:eastAsia="en-GB"/>
              </w:rPr>
            </w:pPr>
            <w:r>
              <w:rPr>
                <w:lang w:val="en-GB" w:eastAsia="en-GB"/>
              </w:rPr>
              <w:drawing>
                <wp:inline distT="0" distB="0" distL="0" distR="0">
                  <wp:extent cx="557530" cy="104775"/>
                  <wp:effectExtent l="0" t="0" r="0" b="0"/>
                  <wp:docPr id="10" name="Picture 108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821" descr=""/>
                          <pic:cNvPicPr>
                            <a:picLocks noChangeAspect="1" noChangeArrowheads="1"/>
                          </pic:cNvPicPr>
                        </pic:nvPicPr>
                        <pic:blipFill>
                          <a:blip r:embed="rId11"/>
                          <a:srcRect l="-30" t="-164" r="-30" b="-164"/>
                          <a:stretch>
                            <a:fillRect/>
                          </a:stretch>
                        </pic:blipFill>
                        <pic:spPr bwMode="auto">
                          <a:xfrm>
                            <a:off x="0" y="0"/>
                            <a:ext cx="557530" cy="104775"/>
                          </a:xfrm>
                          <a:prstGeom prst="rect">
                            <a:avLst/>
                          </a:prstGeom>
                        </pic:spPr>
                      </pic:pic>
                    </a:graphicData>
                  </a:graphic>
                </wp:inline>
              </w:drawing>
            </w:r>
          </w:p>
        </w:tc>
        <w:tc>
          <w:tcPr>
            <w:tcW w:w="1680" w:type="dxa"/>
            <w:tcBorders>
              <w:top w:val="single" w:sz="2" w:space="0" w:color="000000"/>
              <w:left w:val="single" w:sz="2" w:space="0" w:color="000000"/>
              <w:bottom w:val="single" w:sz="2" w:space="0" w:color="000000"/>
              <w:insideH w:val="single" w:sz="2" w:space="0" w:color="000000"/>
            </w:tcBorders>
            <w:shd w:fill="auto" w:val="clear"/>
            <w:tcMar>
              <w:left w:w="101" w:type="dxa"/>
            </w:tcMar>
            <w:vAlign w:val="bottom"/>
          </w:tcPr>
          <w:p>
            <w:pPr>
              <w:pStyle w:val="Normal"/>
              <w:spacing w:before="0" w:after="0"/>
              <w:ind w:left="238" w:hanging="0"/>
              <w:rPr>
                <w:lang w:val="en-GB" w:eastAsia="en-GB"/>
              </w:rPr>
            </w:pPr>
            <w:r>
              <w:rPr>
                <w:lang w:val="en-GB" w:eastAsia="en-GB"/>
              </w:rPr>
              <w:drawing>
                <wp:inline distT="0" distB="0" distL="0" distR="0">
                  <wp:extent cx="635000" cy="109855"/>
                  <wp:effectExtent l="0" t="0" r="0" b="0"/>
                  <wp:docPr id="11" name="Picture 108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830" descr=""/>
                          <pic:cNvPicPr>
                            <a:picLocks noChangeAspect="1" noChangeArrowheads="1"/>
                          </pic:cNvPicPr>
                        </pic:nvPicPr>
                        <pic:blipFill>
                          <a:blip r:embed="rId12"/>
                          <a:srcRect l="-27" t="-157" r="-27" b="-157"/>
                          <a:stretch>
                            <a:fillRect/>
                          </a:stretch>
                        </pic:blipFill>
                        <pic:spPr bwMode="auto">
                          <a:xfrm>
                            <a:off x="0" y="0"/>
                            <a:ext cx="635000" cy="109855"/>
                          </a:xfrm>
                          <a:prstGeom prst="rect">
                            <a:avLst/>
                          </a:prstGeom>
                        </pic:spPr>
                      </pic:pic>
                    </a:graphicData>
                  </a:graphic>
                </wp:inline>
              </w:drawing>
            </w:r>
          </w:p>
        </w:tc>
        <w:tc>
          <w:tcPr>
            <w:tcW w:w="137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01" w:type="dxa"/>
            </w:tcMar>
            <w:vAlign w:val="bottom"/>
          </w:tcPr>
          <w:p>
            <w:pPr>
              <w:pStyle w:val="Normal"/>
              <w:spacing w:before="0" w:after="0"/>
              <w:ind w:left="91" w:hanging="0"/>
              <w:jc w:val="center"/>
              <w:rPr>
                <w:sz w:val="26"/>
              </w:rPr>
            </w:pPr>
            <w:r>
              <w:rPr>
                <w:sz w:val="26"/>
              </w:rPr>
              <w:t>x = 10</w:t>
            </w:r>
          </w:p>
        </w:tc>
      </w:tr>
      <w:tr>
        <w:trPr>
          <w:trHeight w:val="1015" w:hRule="atLeast"/>
        </w:trPr>
        <w:tc>
          <w:tcPr>
            <w:tcW w:w="2415"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firstLine="7"/>
              <w:rPr>
                <w:lang w:val="fr-FR"/>
              </w:rPr>
            </w:pPr>
            <w:r>
              <w:rPr>
                <w:sz w:val="24"/>
                <w:lang w:val="fr-FR"/>
              </w:rPr>
              <w:t>Suivi du réapprovisionnement de l'Economat</w:t>
            </w:r>
          </w:p>
        </w:tc>
        <w:tc>
          <w:tcPr>
            <w:tcW w:w="1587"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91" w:hanging="0"/>
              <w:jc w:val="center"/>
              <w:rPr>
                <w:sz w:val="18"/>
              </w:rPr>
            </w:pPr>
            <w:r>
              <w:rPr>
                <w:sz w:val="18"/>
              </w:rPr>
              <w:t>350/0</w:t>
            </w:r>
          </w:p>
        </w:tc>
        <w:tc>
          <w:tcPr>
            <w:tcW w:w="1416"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86" w:hanging="0"/>
              <w:jc w:val="center"/>
              <w:rPr>
                <w:sz w:val="24"/>
              </w:rPr>
            </w:pPr>
            <w:r>
              <w:rPr>
                <w:sz w:val="24"/>
              </w:rPr>
              <w:t>75€</w:t>
            </w:r>
          </w:p>
        </w:tc>
        <w:tc>
          <w:tcPr>
            <w:tcW w:w="1680"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napToGrid w:val="false"/>
              <w:spacing w:before="0" w:after="160"/>
              <w:rPr/>
            </w:pPr>
            <w:r>
              <w:rPr/>
            </w:r>
          </w:p>
        </w:tc>
        <w:tc>
          <w:tcPr>
            <w:tcW w:w="137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01" w:type="dxa"/>
            </w:tcMar>
          </w:tcPr>
          <w:p>
            <w:pPr>
              <w:pStyle w:val="Normal"/>
              <w:spacing w:before="0" w:after="0"/>
              <w:ind w:left="120" w:hanging="0"/>
              <w:jc w:val="center"/>
              <w:rPr>
                <w:sz w:val="26"/>
              </w:rPr>
            </w:pPr>
            <w:r>
              <w:rPr>
                <w:sz w:val="26"/>
              </w:rPr>
              <w:t>175€</w:t>
            </w:r>
          </w:p>
        </w:tc>
      </w:tr>
      <w:tr>
        <w:trPr>
          <w:trHeight w:val="1013" w:hRule="atLeast"/>
        </w:trPr>
        <w:tc>
          <w:tcPr>
            <w:tcW w:w="2415"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22" w:hanging="0"/>
              <w:rPr>
                <w:lang w:val="fr-FR"/>
              </w:rPr>
            </w:pPr>
            <w:r>
              <w:rPr>
                <w:sz w:val="24"/>
                <w:lang w:val="fr-FR"/>
              </w:rPr>
              <w:t>Préparation et</w:t>
            </w:r>
          </w:p>
          <w:p>
            <w:pPr>
              <w:pStyle w:val="Normal"/>
              <w:spacing w:before="0" w:after="0"/>
              <w:ind w:left="21" w:hanging="7"/>
              <w:rPr>
                <w:lang w:val="fr-FR"/>
              </w:rPr>
            </w:pPr>
            <w:r>
              <w:rPr>
                <w:sz w:val="24"/>
                <w:lang w:val="fr-FR"/>
              </w:rPr>
              <w:t>Organisation des Inventaires</w:t>
            </w:r>
          </w:p>
        </w:tc>
        <w:tc>
          <w:tcPr>
            <w:tcW w:w="1587"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98" w:hanging="0"/>
              <w:jc w:val="center"/>
              <w:rPr>
                <w:sz w:val="18"/>
              </w:rPr>
            </w:pPr>
            <w:r>
              <w:rPr>
                <w:sz w:val="18"/>
              </w:rPr>
              <w:t>350/0</w:t>
            </w:r>
          </w:p>
        </w:tc>
        <w:tc>
          <w:tcPr>
            <w:tcW w:w="1416"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86" w:hanging="0"/>
              <w:jc w:val="center"/>
              <w:rPr>
                <w:sz w:val="24"/>
              </w:rPr>
            </w:pPr>
            <w:r>
              <w:rPr>
                <w:sz w:val="24"/>
              </w:rPr>
              <w:t>75€</w:t>
            </w:r>
          </w:p>
        </w:tc>
        <w:tc>
          <w:tcPr>
            <w:tcW w:w="1680"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115" w:hanging="0"/>
              <w:jc w:val="center"/>
              <w:rPr>
                <w:sz w:val="24"/>
              </w:rPr>
            </w:pPr>
            <w:r>
              <w:rPr>
                <w:sz w:val="24"/>
              </w:rPr>
              <w:t>125€</w:t>
            </w:r>
          </w:p>
        </w:tc>
        <w:tc>
          <w:tcPr>
            <w:tcW w:w="137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01" w:type="dxa"/>
            </w:tcMar>
          </w:tcPr>
          <w:p>
            <w:pPr>
              <w:pStyle w:val="Normal"/>
              <w:snapToGrid w:val="false"/>
              <w:spacing w:before="0" w:after="160"/>
              <w:rPr/>
            </w:pPr>
            <w:r>
              <w:rPr/>
            </w:r>
          </w:p>
        </w:tc>
      </w:tr>
      <w:tr>
        <w:trPr>
          <w:trHeight w:val="1023" w:hRule="atLeast"/>
        </w:trPr>
        <w:tc>
          <w:tcPr>
            <w:tcW w:w="2415"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14" w:right="72" w:hanging="0"/>
              <w:jc w:val="both"/>
              <w:rPr>
                <w:lang w:val="fr-FR"/>
              </w:rPr>
            </w:pPr>
            <w:r>
              <w:rPr>
                <w:sz w:val="26"/>
                <w:lang w:val="fr-FR"/>
              </w:rPr>
              <w:t>Suivi des avoirs I retours entrepôt et Fournisseurs directs</w:t>
            </w:r>
          </w:p>
        </w:tc>
        <w:tc>
          <w:tcPr>
            <w:tcW w:w="1587"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105" w:hanging="0"/>
              <w:jc w:val="center"/>
              <w:rPr>
                <w:sz w:val="18"/>
              </w:rPr>
            </w:pPr>
            <w:r>
              <w:rPr>
                <w:sz w:val="18"/>
              </w:rPr>
              <w:t>300/0</w:t>
            </w:r>
          </w:p>
        </w:tc>
        <w:tc>
          <w:tcPr>
            <w:tcW w:w="1416"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pacing w:before="0" w:after="0"/>
              <w:ind w:left="86" w:hanging="0"/>
              <w:jc w:val="center"/>
              <w:rPr>
                <w:sz w:val="26"/>
              </w:rPr>
            </w:pPr>
            <w:r>
              <w:rPr>
                <w:sz w:val="26"/>
              </w:rPr>
              <w:t>50€</w:t>
            </w:r>
          </w:p>
        </w:tc>
        <w:tc>
          <w:tcPr>
            <w:tcW w:w="1680" w:type="dxa"/>
            <w:tcBorders>
              <w:top w:val="single" w:sz="2" w:space="0" w:color="000000"/>
              <w:left w:val="single" w:sz="2" w:space="0" w:color="000000"/>
              <w:bottom w:val="single" w:sz="2" w:space="0" w:color="000000"/>
              <w:insideH w:val="single" w:sz="2" w:space="0" w:color="000000"/>
            </w:tcBorders>
            <w:shd w:fill="auto" w:val="clear"/>
            <w:tcMar>
              <w:left w:w="101" w:type="dxa"/>
            </w:tcMar>
          </w:tcPr>
          <w:p>
            <w:pPr>
              <w:pStyle w:val="Normal"/>
              <w:snapToGrid w:val="false"/>
              <w:spacing w:before="0" w:after="160"/>
              <w:rPr/>
            </w:pPr>
            <w:r>
              <w:rPr/>
            </w:r>
          </w:p>
        </w:tc>
        <w:tc>
          <w:tcPr>
            <w:tcW w:w="1373"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01" w:type="dxa"/>
            </w:tcMar>
          </w:tcPr>
          <w:p>
            <w:pPr>
              <w:pStyle w:val="Normal"/>
              <w:spacing w:before="0" w:after="0"/>
              <w:ind w:left="127" w:hanging="0"/>
              <w:jc w:val="center"/>
              <w:rPr>
                <w:sz w:val="24"/>
              </w:rPr>
            </w:pPr>
            <w:r>
              <w:rPr>
                <w:sz w:val="24"/>
              </w:rPr>
              <w:t>150€</w:t>
            </w:r>
          </w:p>
        </w:tc>
      </w:tr>
    </w:tbl>
    <w:p>
      <w:pPr>
        <w:pStyle w:val="Normal"/>
        <w:spacing w:before="0" w:after="164"/>
        <w:ind w:left="137" w:hanging="0"/>
        <w:rPr>
          <w:sz w:val="26"/>
        </w:rPr>
      </w:pPr>
      <w:r>
        <w:rPr>
          <w:sz w:val="26"/>
        </w:rPr>
        <w:t>Note obtenue = X</w:t>
      </w:r>
    </w:p>
    <w:p>
      <w:pPr>
        <w:pStyle w:val="Normal"/>
        <w:spacing w:lineRule="auto" w:line="216" w:before="0" w:after="223"/>
        <w:ind w:left="115" w:right="7" w:firstLine="4"/>
        <w:jc w:val="both"/>
        <w:rPr>
          <w:lang w:val="fr-FR"/>
        </w:rPr>
      </w:pPr>
      <w:r>
        <w:rPr>
          <w:sz w:val="24"/>
          <w:lang w:val="fr-FR"/>
        </w:rPr>
        <w:t>La présente prime se substitue à toute autre disposition conventionnelle, usage ou engagement unilatéral de même nature et ne se cumule pas avec les dispositions moins favorables de l'article 4-52, al. 2 de la convention collective applicable.</w:t>
      </w:r>
    </w:p>
    <w:p>
      <w:pPr>
        <w:pStyle w:val="Normal"/>
        <w:spacing w:lineRule="auto" w:line="216" w:before="0" w:after="223"/>
        <w:ind w:left="115" w:right="7" w:firstLine="4"/>
        <w:jc w:val="both"/>
        <w:rPr>
          <w:lang w:val="fr-FR"/>
        </w:rPr>
      </w:pPr>
      <w:r>
        <w:rPr>
          <w:sz w:val="24"/>
          <w:lang w:val="fr-FR"/>
        </w:rPr>
        <w:t>Un état des remplacements effectués et ainsi la fixation du montant de la prime à verser seront effectués lors de l'entretien de compétences du mois de janvier.</w:t>
      </w:r>
    </w:p>
    <w:p>
      <w:pPr>
        <w:pStyle w:val="Normal"/>
        <w:spacing w:before="0" w:after="161"/>
        <w:ind w:left="867" w:hanging="10"/>
        <w:rPr>
          <w:lang w:val="fr-FR"/>
        </w:rPr>
      </w:pPr>
      <w:r>
        <w:rPr>
          <w:sz w:val="24"/>
          <w:u w:val="single" w:color="000000"/>
          <w:lang w:val="fr-FR"/>
        </w:rPr>
        <w:t>2.3 Versement de la prime</w:t>
      </w:r>
    </w:p>
    <w:p>
      <w:pPr>
        <w:pStyle w:val="Normal"/>
        <w:spacing w:lineRule="auto" w:line="216" w:before="0" w:after="167"/>
        <w:ind w:left="115" w:right="7" w:firstLine="4"/>
        <w:jc w:val="both"/>
        <w:rPr>
          <w:lang w:val="fr-FR"/>
        </w:rPr>
      </w:pPr>
      <w:r>
        <w:rPr>
          <w:sz w:val="24"/>
          <w:lang w:val="fr-FR"/>
        </w:rPr>
        <w:t xml:space="preserve">La prime de fonction annuelle a pris effet au 1 </w:t>
      </w:r>
      <w:r>
        <w:rPr>
          <w:sz w:val="24"/>
          <w:vertAlign w:val="superscript"/>
          <w:lang w:val="fr-FR"/>
        </w:rPr>
        <w:t xml:space="preserve">er </w:t>
      </w:r>
      <w:r>
        <w:rPr>
          <w:sz w:val="24"/>
          <w:lang w:val="fr-FR"/>
        </w:rPr>
        <w:t>avril 2018.</w:t>
      </w:r>
    </w:p>
    <w:p>
      <w:pPr>
        <w:pStyle w:val="Normal"/>
        <w:spacing w:lineRule="auto" w:line="264" w:before="0" w:after="394"/>
        <w:ind w:left="132" w:hanging="10"/>
        <w:rPr>
          <w:lang w:val="fr-FR"/>
        </w:rPr>
      </w:pPr>
      <w:r>
        <w:rPr>
          <w:sz w:val="26"/>
          <w:lang w:val="fr-FR"/>
        </w:rPr>
        <w:t>Elle est versée en avril de chaque année aux salariés y ayant droit.</w:t>
      </w:r>
    </w:p>
    <w:p>
      <w:pPr>
        <w:pStyle w:val="Normal"/>
        <w:spacing w:lineRule="auto" w:line="264" w:before="0" w:after="0"/>
        <w:ind w:left="132" w:hanging="10"/>
        <w:rPr>
          <w:lang w:val="fr-FR"/>
        </w:rPr>
      </w:pPr>
      <w:r>
        <w:rPr>
          <w:sz w:val="26"/>
          <w:lang w:val="fr-FR"/>
        </w:rPr>
        <w:t>Article 3 — Indemnités kilométriques — prime de transport</w:t>
      </w:r>
    </w:p>
    <w:tbl>
      <w:tblPr>
        <w:tblW w:w="7306" w:type="dxa"/>
        <w:jc w:val="left"/>
        <w:tblInd w:w="920" w:type="dxa"/>
        <w:tblBorders>
          <w:top w:val="single" w:sz="2" w:space="0" w:color="000000"/>
          <w:left w:val="single" w:sz="2" w:space="0" w:color="000000"/>
          <w:bottom w:val="single" w:sz="2" w:space="0" w:color="000000"/>
          <w:insideH w:val="single" w:sz="2" w:space="0" w:color="000000"/>
        </w:tblBorders>
        <w:tblCellMar>
          <w:top w:w="29" w:type="dxa"/>
          <w:left w:w="112" w:type="dxa"/>
          <w:bottom w:w="0" w:type="dxa"/>
          <w:right w:w="115" w:type="dxa"/>
        </w:tblCellMar>
      </w:tblPr>
      <w:tblGrid>
        <w:gridCol w:w="1822"/>
        <w:gridCol w:w="1818"/>
        <w:gridCol w:w="1839"/>
        <w:gridCol w:w="1827"/>
      </w:tblGrid>
      <w:tr>
        <w:trPr>
          <w:trHeight w:val="266" w:hRule="atLeast"/>
        </w:trPr>
        <w:tc>
          <w:tcPr>
            <w:tcW w:w="1822" w:type="dxa"/>
            <w:tcBorders>
              <w:top w:val="single" w:sz="2" w:space="0" w:color="000000"/>
              <w:left w:val="single" w:sz="2" w:space="0" w:color="000000"/>
              <w:bottom w:val="single" w:sz="2" w:space="0" w:color="000000"/>
              <w:insideH w:val="single" w:sz="2" w:space="0" w:color="000000"/>
            </w:tcBorders>
            <w:shd w:fill="auto" w:val="clear"/>
            <w:tcMar>
              <w:left w:w="112" w:type="dxa"/>
            </w:tcMar>
          </w:tcPr>
          <w:p>
            <w:pPr>
              <w:pStyle w:val="Normal"/>
              <w:spacing w:before="0" w:after="0"/>
              <w:ind w:right="7" w:hanging="0"/>
              <w:jc w:val="center"/>
              <w:rPr>
                <w:sz w:val="40"/>
              </w:rPr>
            </w:pPr>
            <w:r>
              <w:rPr>
                <w:sz w:val="40"/>
              </w:rPr>
              <w:t>0-6 km</w:t>
            </w:r>
          </w:p>
        </w:tc>
        <w:tc>
          <w:tcPr>
            <w:tcW w:w="1818" w:type="dxa"/>
            <w:tcBorders>
              <w:top w:val="single" w:sz="2" w:space="0" w:color="000000"/>
              <w:left w:val="single" w:sz="2" w:space="0" w:color="000000"/>
              <w:bottom w:val="single" w:sz="2" w:space="0" w:color="000000"/>
              <w:insideH w:val="single" w:sz="2" w:space="0" w:color="000000"/>
            </w:tcBorders>
            <w:shd w:fill="auto" w:val="clear"/>
            <w:tcMar>
              <w:left w:w="112" w:type="dxa"/>
            </w:tcMar>
          </w:tcPr>
          <w:p>
            <w:pPr>
              <w:pStyle w:val="Normal"/>
              <w:spacing w:before="0" w:after="0"/>
              <w:ind w:right="10" w:hanging="0"/>
              <w:jc w:val="center"/>
              <w:rPr>
                <w:sz w:val="40"/>
              </w:rPr>
            </w:pPr>
            <w:r>
              <w:rPr>
                <w:sz w:val="40"/>
              </w:rPr>
              <w:t>6-8 km</w:t>
            </w:r>
          </w:p>
        </w:tc>
        <w:tc>
          <w:tcPr>
            <w:tcW w:w="1839" w:type="dxa"/>
            <w:tcBorders>
              <w:top w:val="single" w:sz="2" w:space="0" w:color="000000"/>
              <w:left w:val="single" w:sz="2" w:space="0" w:color="000000"/>
              <w:bottom w:val="single" w:sz="2" w:space="0" w:color="000000"/>
              <w:insideH w:val="single" w:sz="2" w:space="0" w:color="000000"/>
            </w:tcBorders>
            <w:shd w:fill="auto" w:val="clear"/>
            <w:tcMar>
              <w:left w:w="112" w:type="dxa"/>
            </w:tcMar>
          </w:tcPr>
          <w:p>
            <w:pPr>
              <w:pStyle w:val="Normal"/>
              <w:spacing w:before="0" w:after="0"/>
              <w:ind w:right="7" w:hanging="0"/>
              <w:jc w:val="center"/>
              <w:rPr>
                <w:sz w:val="24"/>
              </w:rPr>
            </w:pPr>
            <w:r>
              <w:rPr>
                <w:sz w:val="24"/>
              </w:rPr>
              <w:t>8- 10 km</w:t>
            </w:r>
          </w:p>
        </w:tc>
        <w:tc>
          <w:tcPr>
            <w:tcW w:w="182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12" w:type="dxa"/>
            </w:tcMar>
          </w:tcPr>
          <w:p>
            <w:pPr>
              <w:pStyle w:val="Normal"/>
              <w:spacing w:before="0" w:after="0"/>
              <w:ind w:right="9" w:hanging="0"/>
              <w:jc w:val="center"/>
              <w:rPr>
                <w:sz w:val="24"/>
              </w:rPr>
            </w:pPr>
            <w:r>
              <w:rPr>
                <w:sz w:val="24"/>
              </w:rPr>
              <w:t>&gt; 10 km</w:t>
            </w:r>
          </w:p>
        </w:tc>
      </w:tr>
      <w:tr>
        <w:trPr>
          <w:trHeight w:val="238" w:hRule="atLeast"/>
        </w:trPr>
        <w:tc>
          <w:tcPr>
            <w:tcW w:w="1822" w:type="dxa"/>
            <w:tcBorders>
              <w:top w:val="single" w:sz="2" w:space="0" w:color="000000"/>
              <w:left w:val="single" w:sz="2" w:space="0" w:color="000000"/>
              <w:bottom w:val="single" w:sz="2" w:space="0" w:color="000000"/>
              <w:insideH w:val="single" w:sz="2" w:space="0" w:color="000000"/>
            </w:tcBorders>
            <w:shd w:fill="auto" w:val="clear"/>
            <w:tcMar>
              <w:left w:w="112" w:type="dxa"/>
            </w:tcMar>
          </w:tcPr>
          <w:p>
            <w:pPr>
              <w:pStyle w:val="Normal"/>
              <w:spacing w:before="0" w:after="0"/>
              <w:ind w:left="14" w:hanging="0"/>
              <w:jc w:val="center"/>
              <w:rPr/>
            </w:pPr>
            <w:r>
              <w:rPr/>
              <w:t>25,30€</w:t>
            </w:r>
          </w:p>
        </w:tc>
        <w:tc>
          <w:tcPr>
            <w:tcW w:w="1818" w:type="dxa"/>
            <w:tcBorders>
              <w:top w:val="single" w:sz="2" w:space="0" w:color="000000"/>
              <w:left w:val="single" w:sz="2" w:space="0" w:color="000000"/>
              <w:bottom w:val="single" w:sz="2" w:space="0" w:color="000000"/>
              <w:insideH w:val="single" w:sz="2" w:space="0" w:color="000000"/>
            </w:tcBorders>
            <w:shd w:fill="auto" w:val="clear"/>
            <w:tcMar>
              <w:left w:w="112" w:type="dxa"/>
            </w:tcMar>
          </w:tcPr>
          <w:p>
            <w:pPr>
              <w:pStyle w:val="Normal"/>
              <w:spacing w:before="0" w:after="0"/>
              <w:ind w:left="19" w:hanging="0"/>
              <w:jc w:val="center"/>
              <w:rPr/>
            </w:pPr>
            <w:r>
              <w:rPr/>
              <w:t>37,79€</w:t>
            </w:r>
          </w:p>
        </w:tc>
        <w:tc>
          <w:tcPr>
            <w:tcW w:w="1839" w:type="dxa"/>
            <w:tcBorders>
              <w:top w:val="single" w:sz="2" w:space="0" w:color="000000"/>
              <w:left w:val="single" w:sz="2" w:space="0" w:color="000000"/>
              <w:bottom w:val="single" w:sz="2" w:space="0" w:color="000000"/>
              <w:insideH w:val="single" w:sz="2" w:space="0" w:color="000000"/>
            </w:tcBorders>
            <w:shd w:fill="auto" w:val="clear"/>
            <w:tcMar>
              <w:left w:w="112" w:type="dxa"/>
            </w:tcMar>
          </w:tcPr>
          <w:p>
            <w:pPr>
              <w:pStyle w:val="Normal"/>
              <w:spacing w:before="0" w:after="0"/>
              <w:ind w:left="14" w:hanging="0"/>
              <w:jc w:val="center"/>
              <w:rPr/>
            </w:pPr>
            <w:r>
              <w:rPr/>
              <w:t>50,07€</w:t>
            </w:r>
          </w:p>
        </w:tc>
        <w:tc>
          <w:tcPr>
            <w:tcW w:w="182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Mar>
              <w:left w:w="112" w:type="dxa"/>
            </w:tcMar>
          </w:tcPr>
          <w:p>
            <w:pPr>
              <w:pStyle w:val="Normal"/>
              <w:spacing w:before="0" w:after="0"/>
              <w:ind w:right="2" w:hanging="0"/>
              <w:jc w:val="center"/>
              <w:rPr/>
            </w:pPr>
            <w:r>
              <w:rPr/>
              <w:t>61 ,35€</w:t>
            </w:r>
          </w:p>
        </w:tc>
      </w:tr>
    </w:tbl>
    <w:p>
      <w:pPr>
        <w:pStyle w:val="Heading1"/>
        <w:numPr>
          <w:ilvl w:val="0"/>
          <w:numId w:val="1"/>
        </w:numPr>
        <w:spacing w:before="0" w:after="162"/>
        <w:ind w:left="117" w:hanging="10"/>
        <w:rPr/>
      </w:pPr>
      <w:r>
        <w:rPr/>
        <w:t>Article 4 — Remise sur achats</w:t>
      </w:r>
    </w:p>
    <w:p>
      <w:pPr>
        <w:pStyle w:val="Normal"/>
        <w:spacing w:lineRule="auto" w:line="216" w:before="0" w:after="223"/>
        <w:ind w:left="115" w:right="7" w:firstLine="4"/>
        <w:jc w:val="both"/>
        <w:rPr>
          <w:lang w:val="fr-FR"/>
        </w:rPr>
      </w:pPr>
      <w:r>
        <w:rPr>
          <w:sz w:val="24"/>
          <w:lang w:val="fr-FR"/>
        </w:rPr>
        <w:t xml:space="preserve">L'ensemble des collaborateurs de la société bénéficient d'une remise sur achats de 10 % pour un tnontant maximal d'achats porté depuis le 1 </w:t>
      </w:r>
      <w:r>
        <w:rPr>
          <w:sz w:val="24"/>
          <w:vertAlign w:val="superscript"/>
          <w:lang w:val="fr-FR"/>
        </w:rPr>
        <w:t xml:space="preserve">er </w:t>
      </w:r>
      <w:r>
        <w:rPr>
          <w:sz w:val="24"/>
          <w:lang w:val="fr-FR"/>
        </w:rPr>
        <w:t>octobre 2020 à 900 € mensuels, sur présentation de la carte de fidélité Carrefour.</w:t>
      </w:r>
    </w:p>
    <w:p>
      <w:pPr>
        <w:pStyle w:val="Normal"/>
        <w:spacing w:lineRule="auto" w:line="216" w:before="0" w:after="223"/>
        <w:ind w:left="115" w:right="7" w:firstLine="4"/>
        <w:jc w:val="both"/>
        <w:rPr>
          <w:lang w:val="fr-FR"/>
        </w:rPr>
      </w:pPr>
      <w:r>
        <w:rPr>
          <w:sz w:val="24"/>
          <w:lang w:val="fr-FR"/>
        </w:rPr>
        <w:t>Ce plafond de 900 € n'est pas applicable sur les mois de mai, novembre et décembre ainsi que sur toutes les commandes DRIVE.</w:t>
      </w:r>
    </w:p>
    <w:p>
      <w:pPr>
        <w:pStyle w:val="Normal"/>
        <w:spacing w:lineRule="auto" w:line="216" w:before="0" w:after="223"/>
        <w:ind w:left="115" w:right="7" w:firstLine="4"/>
        <w:jc w:val="both"/>
        <w:rPr>
          <w:lang w:val="fr-FR"/>
        </w:rPr>
      </w:pPr>
      <w:r>
        <w:rPr>
          <w:sz w:val="24"/>
          <w:lang w:val="fr-FR"/>
        </w:rPr>
        <w:t>La remise sur achats est portée à 12 % pour les commandes DRIVE.</w:t>
      </w:r>
    </w:p>
    <w:p>
      <w:pPr>
        <w:pStyle w:val="Normal"/>
        <w:spacing w:lineRule="auto" w:line="264" w:before="0" w:after="172"/>
        <w:ind w:left="132" w:hanging="10"/>
        <w:rPr>
          <w:lang w:val="fr-FR"/>
        </w:rPr>
      </w:pPr>
      <w:r>
        <w:rPr>
          <w:sz w:val="26"/>
          <w:lang w:val="fr-FR"/>
        </w:rPr>
        <w:t>Article 5 — Augmentation du budget activités sociales et culturelles du comité d'entreprise</w:t>
      </w:r>
    </w:p>
    <w:p>
      <w:pPr>
        <w:pStyle w:val="Normal"/>
        <w:spacing w:lineRule="auto" w:line="216" w:before="0" w:after="187"/>
        <w:ind w:left="115" w:right="7" w:firstLine="4"/>
        <w:jc w:val="both"/>
        <w:rPr>
          <w:lang w:val="fr-FR"/>
        </w:rPr>
      </w:pPr>
      <w:r>
        <w:rPr>
          <w:sz w:val="24"/>
          <w:lang w:val="fr-FR"/>
        </w:rPr>
        <w:t xml:space="preserve">Le montant de la contribution employeur est de 0,27 % de la masse salariale brute issue de la DADS de l'année N-I depuis le 1 </w:t>
      </w:r>
      <w:r>
        <w:rPr>
          <w:sz w:val="24"/>
          <w:vertAlign w:val="superscript"/>
          <w:lang w:val="fr-FR"/>
        </w:rPr>
        <w:t xml:space="preserve">er </w:t>
      </w:r>
      <w:r>
        <w:rPr>
          <w:sz w:val="24"/>
          <w:lang w:val="fr-FR"/>
        </w:rPr>
        <w:t>octobre 2020.</w:t>
      </w:r>
    </w:p>
    <w:p>
      <w:pPr>
        <w:pStyle w:val="Normal"/>
        <w:spacing w:lineRule="auto" w:line="216" w:before="0" w:after="490"/>
        <w:ind w:left="130" w:hanging="0"/>
        <w:rPr>
          <w:lang w:val="fr-FR"/>
        </w:rPr>
      </w:pPr>
      <w:r>
        <w:rPr>
          <w:rFonts w:eastAsia="Times New Roman" w:cs="Times New Roman" w:ascii="Times New Roman" w:hAnsi="Times New Roman"/>
          <w:sz w:val="24"/>
          <w:lang w:val="fr-FR"/>
        </w:rPr>
        <w:t>(Le montant de la contribution au budget de Fonctionnement reste en revanche, inchangé à 0,20 % de la masse salariale brute de l'année N-I).</w:t>
      </w:r>
    </w:p>
    <w:p>
      <w:pPr>
        <w:pStyle w:val="Normal"/>
        <w:spacing w:lineRule="auto" w:line="264" w:before="0" w:after="135"/>
        <w:ind w:left="132" w:hanging="10"/>
        <w:rPr>
          <w:lang w:val="fr-FR"/>
        </w:rPr>
      </w:pPr>
      <w:r>
        <w:rPr>
          <w:sz w:val="26"/>
          <w:lang w:val="fr-FR"/>
        </w:rPr>
        <w:t>Article 6 Congé pour enfant malade</w:t>
      </w:r>
    </w:p>
    <w:p>
      <w:pPr>
        <w:pStyle w:val="Normal"/>
        <w:spacing w:lineRule="auto" w:line="216" w:before="0" w:after="223"/>
        <w:ind w:left="115" w:right="7" w:firstLine="4"/>
        <w:jc w:val="both"/>
        <w:rPr>
          <w:lang w:val="fr-FR"/>
        </w:rPr>
      </w:pPr>
      <w:r>
        <w:rPr>
          <w:sz w:val="24"/>
          <w:lang w:val="fr-FR"/>
        </w:rPr>
        <w:t>Il sera accordé au père ou à la mère une autorisation d'absence de courte durée, pour soigner un enfant de moins de 16 ans, hospitalisé ou malade, sur présentation d'un certificat médical attestant de la présence nécessaire d'un parent au chevet de l'enfant.</w:t>
      </w:r>
    </w:p>
    <w:p>
      <w:pPr>
        <w:pStyle w:val="Normal"/>
        <w:spacing w:lineRule="auto" w:line="216" w:before="0" w:after="187"/>
        <w:ind w:left="115" w:right="7" w:firstLine="4"/>
        <w:jc w:val="both"/>
        <w:rPr>
          <w:lang w:val="fr-FR"/>
        </w:rPr>
      </w:pPr>
      <w:r>
        <w:rPr>
          <w:sz w:val="24"/>
          <w:lang w:val="fr-FR"/>
        </w:rPr>
        <w:t>Cette autorisation d'absence sera rémunérée dans la limite de trois jours par an.</w:t>
      </w:r>
    </w:p>
    <w:p>
      <w:pPr>
        <w:pStyle w:val="Normal"/>
        <w:spacing w:lineRule="auto" w:line="216" w:before="0" w:after="198"/>
        <w:ind w:left="115" w:right="7" w:firstLine="4"/>
        <w:jc w:val="both"/>
        <w:rPr>
          <w:lang w:val="fr-FR"/>
        </w:rPr>
      </w:pPr>
      <w:r>
        <w:rPr>
          <w:sz w:val="24"/>
          <w:lang w:val="fr-FR"/>
        </w:rPr>
        <w:t>Lorsque les deux parents sont salariés dans la même entreprise, ces autorisations d'absence ne se cumulent pas.</w:t>
      </w:r>
    </w:p>
    <w:p>
      <w:pPr>
        <w:pStyle w:val="Normal"/>
        <w:spacing w:lineRule="auto" w:line="216" w:before="0" w:after="459"/>
        <w:ind w:left="115" w:right="7" w:firstLine="4"/>
        <w:jc w:val="both"/>
        <w:rPr>
          <w:lang w:val="fr-FR"/>
        </w:rPr>
      </w:pPr>
      <w:r>
        <w:rPr>
          <w:sz w:val="24"/>
          <w:lang w:val="fr-FR"/>
        </w:rPr>
        <w:t>Par ailleurs, aucune autorisation ne sera accordée lorsque l'un des parents, présent au foyer, peut assurer la garde de l'enfant.</w:t>
      </w:r>
    </w:p>
    <w:p>
      <w:pPr>
        <w:pStyle w:val="Normal"/>
        <w:spacing w:lineRule="auto" w:line="264" w:before="0" w:after="135"/>
        <w:ind w:left="132" w:hanging="10"/>
        <w:rPr>
          <w:lang w:val="fr-FR"/>
        </w:rPr>
      </w:pPr>
      <w:r>
        <w:rPr>
          <w:sz w:val="26"/>
          <w:lang w:val="fr-FR"/>
        </w:rPr>
        <w:t>Article 7 — Points rejetés dans le dernier état des revendications</w:t>
      </w:r>
    </w:p>
    <w:p>
      <w:pPr>
        <w:pStyle w:val="Normal"/>
        <w:spacing w:before="0" w:after="132"/>
        <w:ind w:left="140" w:hanging="10"/>
        <w:rPr>
          <w:lang w:val="fr-FR"/>
        </w:rPr>
      </w:pPr>
      <w:r>
        <w:rPr>
          <w:sz w:val="24"/>
          <w:u w:val="single" w:color="000000"/>
          <w:lang w:val="fr-FR"/>
        </w:rPr>
        <w:t>7.1 Revalorisation de la prime d'intéressement</w:t>
      </w:r>
    </w:p>
    <w:p>
      <w:pPr>
        <w:pStyle w:val="Normal"/>
        <w:spacing w:lineRule="auto" w:line="216" w:before="0" w:after="186"/>
        <w:ind w:left="115" w:right="7" w:firstLine="4"/>
        <w:jc w:val="both"/>
        <w:rPr>
          <w:lang w:val="fr-FR"/>
        </w:rPr>
      </w:pPr>
      <w:r>
        <w:rPr>
          <w:sz w:val="24"/>
          <w:lang w:val="fr-FR"/>
        </w:rPr>
        <w:t>Cette revendication n'entre pas dans le champ des NAO.</w:t>
      </w:r>
    </w:p>
    <w:p>
      <w:pPr>
        <w:pStyle w:val="Normal"/>
        <w:spacing w:before="0" w:after="140"/>
        <w:ind w:left="140" w:hanging="10"/>
        <w:rPr>
          <w:lang w:val="fr-FR"/>
        </w:rPr>
      </w:pPr>
      <w:r>
        <w:rPr>
          <w:sz w:val="24"/>
          <w:u w:val="single" w:color="000000"/>
          <w:lang w:val="fr-FR"/>
        </w:rPr>
        <w:t>7.2 Augmentation de la prime de transport</w:t>
      </w:r>
    </w:p>
    <w:p>
      <w:pPr>
        <w:pStyle w:val="Normal"/>
        <w:spacing w:lineRule="auto" w:line="216" w:before="0" w:after="450"/>
        <w:ind w:left="115" w:right="7" w:firstLine="4"/>
        <w:jc w:val="both"/>
        <w:rPr>
          <w:lang w:val="fr-FR"/>
        </w:rPr>
      </w:pPr>
      <w:r>
        <w:rPr>
          <w:sz w:val="24"/>
          <w:lang w:val="fr-FR"/>
        </w:rPr>
        <w:t xml:space="preserve">Les montants en cause s'avèrent déjà élevés, alors même que l'entreprise n'a aucune obligation en la matière. En effet, l'indemnité de transport régionale corse dite « I TRC » est caduque depuis le 12 juin 2019. En effet, l'avenant n </w:t>
      </w:r>
      <w:r>
        <w:rPr>
          <w:sz w:val="24"/>
          <w:vertAlign w:val="superscript"/>
          <w:lang w:val="fr-FR"/>
        </w:rPr>
        <w:t xml:space="preserve">o </w:t>
      </w:r>
      <w:r>
        <w:rPr>
          <w:sz w:val="24"/>
          <w:lang w:val="fr-FR"/>
        </w:rPr>
        <w:t>2 du 4 juillet 2016 (dernière prolongation de l'I TRC) expirait au 1 1 juin 2019.</w:t>
      </w:r>
    </w:p>
    <w:p>
      <w:pPr>
        <w:pStyle w:val="Heading1"/>
        <w:numPr>
          <w:ilvl w:val="0"/>
          <w:numId w:val="1"/>
        </w:numPr>
        <w:ind w:left="117" w:hanging="10"/>
        <w:rPr>
          <w:lang w:val="fr-FR"/>
        </w:rPr>
      </w:pPr>
      <w:r>
        <w:rPr>
          <w:lang w:val="fr-FR"/>
        </w:rPr>
        <w:t>Article 8 — Dispositions finales</w:t>
      </w:r>
    </w:p>
    <w:p>
      <w:pPr>
        <w:pStyle w:val="Normal"/>
        <w:spacing w:before="0" w:after="161"/>
        <w:ind w:left="643" w:hanging="10"/>
        <w:rPr>
          <w:lang w:val="fr-FR"/>
        </w:rPr>
      </w:pPr>
      <w:r>
        <w:rPr>
          <w:sz w:val="24"/>
          <w:u w:val="single" w:color="000000"/>
          <w:lang w:val="fr-FR"/>
        </w:rPr>
        <w:t>8.1 Durée et prise d'effet</w:t>
      </w:r>
    </w:p>
    <w:p>
      <w:pPr>
        <w:pStyle w:val="Normal"/>
        <w:spacing w:lineRule="auto" w:line="216" w:before="0" w:after="182"/>
        <w:ind w:left="115" w:right="7" w:firstLine="4"/>
        <w:jc w:val="both"/>
        <w:rPr>
          <w:lang w:val="fr-FR"/>
        </w:rPr>
      </w:pPr>
      <w:r>
        <w:rPr>
          <w:sz w:val="24"/>
          <w:lang w:val="fr-FR"/>
        </w:rPr>
        <w:t>Le présent accord est conclu dans sa globalité pour une durée indéterminée. Il remplace et annule toute disposition résultant des accords collectifs et atypiques, des usages ou de toutes autres pratiques ou engagements unilatéraux en vigueur au sein de l'entreprise avant sa conclusion et ayant un objet identique.</w:t>
      </w:r>
    </w:p>
    <w:p>
      <w:pPr>
        <w:pStyle w:val="Normal"/>
        <w:spacing w:lineRule="auto" w:line="216" w:before="0" w:after="193"/>
        <w:ind w:left="115" w:right="7" w:firstLine="4"/>
        <w:jc w:val="both"/>
        <w:rPr>
          <w:lang w:val="fr-FR"/>
        </w:rPr>
      </w:pPr>
      <w:r>
        <w:rPr>
          <w:sz w:val="24"/>
          <w:lang w:val="fr-FR"/>
        </w:rPr>
        <w:t xml:space="preserve">Le présent accord entrera en vigueur le 1 </w:t>
      </w:r>
      <w:r>
        <w:rPr>
          <w:sz w:val="24"/>
          <w:vertAlign w:val="superscript"/>
          <w:lang w:val="fr-FR"/>
        </w:rPr>
        <w:t xml:space="preserve">er </w:t>
      </w:r>
      <w:r>
        <w:rPr>
          <w:sz w:val="24"/>
          <w:lang w:val="fr-FR"/>
        </w:rPr>
        <w:t>mai 2022 pour toutes les dispositions ne précisant pas leur date d'effet.</w:t>
      </w:r>
    </w:p>
    <w:p>
      <w:pPr>
        <w:pStyle w:val="Normal"/>
        <w:spacing w:before="0" w:after="166"/>
        <w:ind w:left="636" w:hanging="10"/>
        <w:rPr>
          <w:lang w:val="fr-FR"/>
        </w:rPr>
      </w:pPr>
      <w:r>
        <w:rPr>
          <w:sz w:val="26"/>
          <w:u w:val="single" w:color="000000"/>
          <w:lang w:val="fr-FR"/>
        </w:rPr>
        <w:t>8.2 Clause de rendez-vous</w:t>
      </w:r>
    </w:p>
    <w:p>
      <w:pPr>
        <w:pStyle w:val="Normal"/>
        <w:spacing w:lineRule="auto" w:line="216" w:before="0" w:after="223"/>
        <w:ind w:left="115" w:right="7" w:firstLine="4"/>
        <w:jc w:val="both"/>
        <w:rPr>
          <w:lang w:val="fr-FR"/>
        </w:rPr>
      </w:pPr>
      <w:r>
        <w:rPr>
          <w:sz w:val="24"/>
          <w:lang w:val="fr-FR"/>
        </w:rPr>
        <w:t>Les parties conviennent de se réunir un an après la signature du présent accord pour déterminer si des adaptations ou modifications sont nécessaires.</w:t>
      </w:r>
    </w:p>
    <w:p>
      <w:pPr>
        <w:pStyle w:val="Normal"/>
        <w:spacing w:before="0" w:after="161"/>
        <w:ind w:left="643" w:hanging="10"/>
        <w:rPr>
          <w:lang w:val="fr-FR"/>
        </w:rPr>
      </w:pPr>
      <w:r>
        <w:rPr>
          <w:sz w:val="24"/>
          <w:u w:val="single" w:color="000000"/>
          <w:lang w:val="fr-FR"/>
        </w:rPr>
        <w:t>8.3 Dénonciation</w:t>
      </w:r>
    </w:p>
    <w:p>
      <w:pPr>
        <w:pStyle w:val="Normal"/>
        <w:spacing w:lineRule="auto" w:line="216" w:before="0" w:after="223"/>
        <w:ind w:left="115" w:right="7" w:firstLine="4"/>
        <w:jc w:val="both"/>
        <w:rPr>
          <w:lang w:val="fr-FR"/>
        </w:rPr>
      </w:pPr>
      <w:r>
        <w:rPr>
          <w:sz w:val="24"/>
          <w:lang w:val="fr-FR"/>
        </w:rPr>
        <w:t>L'accord pourra être dénoncé par l'une des parties signataires moyennant un préavis de trois mois dans les conditions énoncées aux articles L 2261-9 et suivants du Code du travail. La dénonciation est notifiée par courrier avec demande d'avis de réception par son auteur aux signataires de l'accord.</w:t>
      </w:r>
    </w:p>
    <w:p>
      <w:pPr>
        <w:pStyle w:val="Normal"/>
        <w:spacing w:before="0" w:after="166"/>
        <w:ind w:left="636" w:hanging="10"/>
        <w:rPr>
          <w:lang w:val="fr-FR"/>
        </w:rPr>
      </w:pPr>
      <w:r>
        <w:rPr>
          <w:sz w:val="26"/>
          <w:u w:val="single" w:color="000000"/>
          <w:lang w:val="fr-FR"/>
        </w:rPr>
        <w:t>8.4 Révision</w:t>
      </w:r>
    </w:p>
    <w:p>
      <w:pPr>
        <w:pStyle w:val="Normal"/>
        <w:spacing w:lineRule="auto" w:line="216" w:before="0" w:after="137"/>
        <w:ind w:left="115" w:right="7" w:firstLine="4"/>
        <w:jc w:val="both"/>
        <w:rPr>
          <w:lang w:val="fr-FR"/>
        </w:rPr>
      </w:pPr>
      <w:r>
        <w:rPr>
          <w:sz w:val="24"/>
          <w:lang w:val="fr-FR"/>
        </w:rPr>
        <w:t>Le présent accord pourra faire l'objet d'une demande de révision de la part des parties signataires, conformément à l'article L 2222-5 du Code du travail, notamment dans les cas prévus aux articles L 2253-1 et suivants du même Code.</w:t>
      </w:r>
    </w:p>
    <w:p>
      <w:pPr>
        <w:pStyle w:val="Normal"/>
        <w:spacing w:lineRule="auto" w:line="216" w:before="0" w:after="223"/>
        <w:ind w:left="115" w:right="7" w:firstLine="4"/>
        <w:jc w:val="both"/>
        <w:rPr>
          <w:lang w:val="fr-FR"/>
        </w:rPr>
      </w:pPr>
      <w:r>
        <w:rPr>
          <w:sz w:val="24"/>
          <w:lang w:val="fr-FR"/>
        </w:rPr>
        <w:t>La partie qui souhaite modifier le présent accord remet aux autres un projet écrit. A défaut d'accord dans les six mois sur la modification demandée, les dispositions litigieuses sont conservées.</w:t>
      </w:r>
    </w:p>
    <w:p>
      <w:pPr>
        <w:pStyle w:val="Normal"/>
        <w:spacing w:lineRule="auto" w:line="216" w:before="0" w:after="155"/>
        <w:ind w:left="115" w:right="7" w:firstLine="4"/>
        <w:jc w:val="both"/>
        <w:rPr>
          <w:lang w:val="fr-FR"/>
        </w:rPr>
      </w:pPr>
      <w:r>
        <w:rPr>
          <w:sz w:val="24"/>
          <w:lang w:val="fr-FR"/>
        </w:rPr>
        <w:t>Toute modification au présent accord devra faire l'objet d'un avenant dont les formalités de dépôt et de publicité seront identiques à celles du présent accord.</w:t>
      </w:r>
    </w:p>
    <w:p>
      <w:pPr>
        <w:pStyle w:val="Normal"/>
        <w:spacing w:before="0" w:after="161"/>
        <w:ind w:left="643" w:hanging="10"/>
        <w:rPr>
          <w:lang w:val="fr-FR"/>
        </w:rPr>
      </w:pPr>
      <w:r>
        <w:rPr>
          <w:sz w:val="24"/>
          <w:u w:val="single" w:color="000000"/>
          <w:lang w:val="fr-FR"/>
        </w:rPr>
        <w:t>8.5 Adhésion</w:t>
      </w:r>
    </w:p>
    <w:p>
      <w:pPr>
        <w:pStyle w:val="Normal"/>
        <w:spacing w:lineRule="auto" w:line="216" w:before="0" w:after="223"/>
        <w:ind w:left="115" w:right="7" w:firstLine="4"/>
        <w:jc w:val="both"/>
        <w:rPr>
          <w:lang w:val="fr-FR"/>
        </w:rPr>
      </w:pPr>
      <w:r>
        <w:rPr>
          <w:sz w:val="24"/>
          <w:lang w:val="fr-FR"/>
        </w:rPr>
        <w:t>Conformément à l'article L 2261-3 du Code du travail, une organisation syndicale non signataire pourra adhérer au présent accord.</w:t>
      </w:r>
    </w:p>
    <w:p>
      <w:pPr>
        <w:pStyle w:val="Normal"/>
        <w:spacing w:lineRule="auto" w:line="216" w:before="0" w:after="223"/>
        <w:ind w:left="115" w:right="7" w:firstLine="4"/>
        <w:jc w:val="both"/>
        <w:rPr>
          <w:lang w:val="fr-FR"/>
        </w:rPr>
      </w:pPr>
      <w:r>
        <w:rPr>
          <w:sz w:val="24"/>
          <w:lang w:val="fr-FR"/>
        </w:rPr>
        <w:t>Cette adhésion devra être notifiée par lettre recommandée avec accusé de réception aux signataires du présent accord et fera l'objet d'un dépôt par la Direction selon les mêmes formalités de dépôt que le présent accord.</w:t>
      </w:r>
    </w:p>
    <w:p>
      <w:pPr>
        <w:pStyle w:val="Normal"/>
        <w:spacing w:before="0" w:after="161"/>
        <w:ind w:left="643" w:hanging="10"/>
        <w:rPr>
          <w:lang w:val="fr-FR"/>
        </w:rPr>
      </w:pPr>
      <w:r>
        <w:rPr>
          <w:sz w:val="24"/>
          <w:u w:val="single" w:color="000000"/>
          <w:lang w:val="fr-FR"/>
        </w:rPr>
        <w:t>8.6 Clause de revoyure</w:t>
      </w:r>
    </w:p>
    <w:p>
      <w:pPr>
        <w:pStyle w:val="Normal"/>
        <w:spacing w:lineRule="auto" w:line="216" w:before="0" w:after="468"/>
        <w:ind w:left="115" w:right="7" w:firstLine="4"/>
        <w:jc w:val="both"/>
        <w:rPr>
          <w:lang w:val="fr-FR"/>
        </w:rPr>
      </w:pPr>
      <w:r>
        <w:rPr>
          <w:sz w:val="24"/>
          <w:lang w:val="fr-FR"/>
        </w:rPr>
        <w:t>Il est convenu que la Direction réunisse les organisations syndicales représentatives afin d'échanger sur les éventuelles adaptations qui seraient rendues nécessaires en cas d'évolution législative ou réglementaire impactant significativement le présent accord.</w:t>
      </w:r>
    </w:p>
    <w:p>
      <w:pPr>
        <w:pStyle w:val="Heading1"/>
        <w:numPr>
          <w:ilvl w:val="0"/>
          <w:numId w:val="1"/>
        </w:numPr>
        <w:ind w:left="117" w:hanging="10"/>
        <w:rPr>
          <w:lang w:val="fr-FR"/>
        </w:rPr>
      </w:pPr>
      <w:r>
        <w:rPr>
          <w:lang w:val="fr-FR"/>
        </w:rPr>
        <w:t>Article 9 - Dépôt légal</w:t>
      </w:r>
    </w:p>
    <w:p>
      <w:pPr>
        <w:pStyle w:val="Normal"/>
        <w:spacing w:lineRule="auto" w:line="216" w:before="0" w:after="129"/>
        <w:ind w:left="115" w:right="7" w:firstLine="4"/>
        <w:jc w:val="both"/>
        <w:rPr>
          <w:lang w:val="fr-FR"/>
        </w:rPr>
      </w:pPr>
      <w:r>
        <w:rPr>
          <w:sz w:val="24"/>
          <w:lang w:val="fr-FR"/>
        </w:rPr>
        <w:t>Un exemplaire signé du présent accord sera remis à chaque signataire.</w:t>
      </w:r>
    </w:p>
    <w:p>
      <w:pPr>
        <w:pStyle w:val="Normal"/>
        <w:spacing w:lineRule="auto" w:line="216" w:before="0" w:after="43"/>
        <w:ind w:left="115" w:right="7" w:firstLine="4"/>
        <w:jc w:val="both"/>
        <w:rPr>
          <w:lang w:val="fr-FR"/>
        </w:rPr>
      </w:pPr>
      <w:r>
        <w:rPr>
          <w:sz w:val="24"/>
          <w:lang w:val="fr-FR"/>
        </w:rPr>
        <w:t>Cet accord fera l'objet d'un dépôt par la Direction selon les modalités prévues aux articles</w:t>
      </w:r>
    </w:p>
    <w:p>
      <w:pPr>
        <w:pStyle w:val="Normal"/>
        <w:spacing w:lineRule="auto" w:line="216" w:before="0" w:after="43"/>
        <w:ind w:left="115" w:right="7" w:firstLine="4"/>
        <w:jc w:val="both"/>
        <w:rPr>
          <w:lang w:val="fr-FR"/>
        </w:rPr>
      </w:pPr>
      <w:r>
        <w:rPr>
          <w:sz w:val="24"/>
          <w:lang w:val="fr-FR"/>
        </w:rPr>
        <w:t>L 2231-6 et D 2231-2 et suivants du Code du travail, à savoir via la plateforme Télé@ccords</w:t>
      </w:r>
    </w:p>
    <w:p>
      <w:pPr>
        <w:pStyle w:val="Normal"/>
        <w:pBdr>
          <w:left w:val="single" w:sz="22" w:space="0" w:color="000000"/>
          <w:bottom w:val="single" w:sz="6" w:space="0" w:color="000000"/>
        </w:pBdr>
        <w:spacing w:before="0" w:after="0"/>
        <w:ind w:left="186" w:hanging="0"/>
        <w:rPr>
          <w:lang w:val="fr-FR"/>
        </w:rPr>
      </w:pPr>
      <w:r>
        <w:rPr>
          <w:rFonts w:eastAsia="Times New Roman" w:cs="Times New Roman" w:ascii="Times New Roman" w:hAnsi="Times New Roman"/>
          <w:sz w:val="24"/>
          <w:lang w:val="fr-FR"/>
        </w:rPr>
        <w:t>https://www.teleaccords.travail-emploi.gouv.fr/PortailTeleprocedures/#</w:t>
      </w:r>
    </w:p>
    <w:p>
      <w:pPr>
        <w:pStyle w:val="Normal"/>
        <w:spacing w:lineRule="auto" w:line="216" w:before="0" w:after="126"/>
        <w:ind w:right="7" w:firstLine="4"/>
        <w:jc w:val="both"/>
        <w:rPr>
          <w:lang w:val="fr-FR"/>
        </w:rPr>
      </w:pPr>
      <w:r>
        <w:rPr>
          <w:sz w:val="24"/>
          <w:lang w:val="fr-FR"/>
        </w:rPr>
        <w:t>Fait en 3 exemplaires originaux à Borgo, le 25 avril 2022</w:t>
      </w:r>
    </w:p>
    <w:p>
      <w:pPr>
        <w:pStyle w:val="Heading1"/>
        <w:numPr>
          <w:ilvl w:val="0"/>
          <w:numId w:val="1"/>
        </w:numPr>
        <w:spacing w:before="0" w:after="198"/>
        <w:ind w:left="1073" w:hanging="0"/>
        <w:jc w:val="center"/>
        <w:rPr>
          <w:lang w:val="fr-FR"/>
        </w:rPr>
      </w:pPr>
      <w:r>
        <w:rPr>
          <w:lang w:val="fr-FR"/>
        </w:rPr>
        <w:t>Signatures</w:t>
      </w:r>
    </w:p>
    <w:p>
      <w:pPr>
        <w:pStyle w:val="Normal"/>
        <w:tabs>
          <w:tab w:val="center" w:pos="967" w:leader="none"/>
          <w:tab w:val="center" w:pos="4549" w:leader="none"/>
          <w:tab w:val="right" w:pos="7968" w:leader="none"/>
        </w:tabs>
        <w:spacing w:before="0" w:after="0"/>
        <w:rPr>
          <w:vanish/>
        </w:rPr>
      </w:pPr>
      <w:r>
        <w:drawing>
          <wp:anchor behindDoc="0" distT="0" distB="0" distL="114935" distR="114935" simplePos="0" locked="0" layoutInCell="1" allowOverlap="1" relativeHeight="11">
            <wp:simplePos x="0" y="0"/>
            <wp:positionH relativeFrom="column">
              <wp:posOffset>-8890</wp:posOffset>
            </wp:positionH>
            <wp:positionV relativeFrom="paragraph">
              <wp:posOffset>168275</wp:posOffset>
            </wp:positionV>
            <wp:extent cx="1417320" cy="365125"/>
            <wp:effectExtent l="0" t="0" r="0" b="0"/>
            <wp:wrapSquare wrapText="bothSides"/>
            <wp:docPr id="12" name="Picture 155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503" descr=""/>
                    <pic:cNvPicPr>
                      <a:picLocks noChangeAspect="1" noChangeArrowheads="1"/>
                    </pic:cNvPicPr>
                  </pic:nvPicPr>
                  <pic:blipFill>
                    <a:blip r:embed="rId13"/>
                    <a:srcRect l="-12" t="-46" r="-12" b="-46"/>
                    <a:stretch>
                      <a:fillRect/>
                    </a:stretch>
                  </pic:blipFill>
                  <pic:spPr bwMode="auto">
                    <a:xfrm>
                      <a:off x="0" y="0"/>
                      <a:ext cx="1417320" cy="365125"/>
                    </a:xfrm>
                    <a:prstGeom prst="rect">
                      <a:avLst/>
                    </a:prstGeom>
                  </pic:spPr>
                </pic:pic>
              </a:graphicData>
            </a:graphic>
          </wp:anchor>
        </w:drawing>
      </w:r>
      <w:r>
        <w:rPr>
          <w:sz w:val="24"/>
          <w:lang w:val="fr-FR"/>
        </w:rPr>
        <w:tab/>
      </w:r>
      <w:r>
        <w:rPr>
          <w:sz w:val="24"/>
          <w:lang w:val="fr-FR"/>
        </w:rPr>
        <w:t>La Direction,</w:t>
        <w:tab/>
      </w:r>
      <w:r>
        <w:rPr>
          <w:lang w:val="en-GB" w:eastAsia="en-GB"/>
        </w:rPr>
        <w:drawing>
          <wp:inline distT="0" distB="0" distL="0" distR="0">
            <wp:extent cx="1196340" cy="1304290"/>
            <wp:effectExtent l="0" t="0" r="0" b="0"/>
            <wp:docPr id="13" name="Picture 155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502" descr=""/>
                    <pic:cNvPicPr>
                      <a:picLocks noChangeAspect="1" noChangeArrowheads="1"/>
                    </pic:cNvPicPr>
                  </pic:nvPicPr>
                  <pic:blipFill>
                    <a:blip r:embed="rId14"/>
                    <a:srcRect l="-14" t="-13" r="-14" b="-13"/>
                    <a:stretch>
                      <a:fillRect/>
                    </a:stretch>
                  </pic:blipFill>
                  <pic:spPr bwMode="auto">
                    <a:xfrm>
                      <a:off x="0" y="0"/>
                      <a:ext cx="1196340" cy="1304290"/>
                    </a:xfrm>
                    <a:prstGeom prst="rect">
                      <a:avLst/>
                    </a:prstGeom>
                  </pic:spPr>
                </pic:pic>
              </a:graphicData>
            </a:graphic>
          </wp:inline>
        </w:drawing>
      </w:r>
      <w:bookmarkStart w:id="0" w:name="_PictureBullets"/>
      <w:bookmarkEnd w:id="0"/>
      <w:r>
        <w:rPr>
          <w:sz w:val="24"/>
          <w:lang w:val="fr-FR"/>
        </w:rPr>
        <w:tab/>
        <w:t>Le syndicat STC</w:t>
      </w:r>
    </w:p>
    <w:p>
      <w:pPr>
        <w:sectPr>
          <w:footerReference w:type="default" r:id="rId15"/>
          <w:type w:val="nextPage"/>
          <w:pgSz w:w="11906" w:h="16838"/>
          <w:pgMar w:left="1513" w:right="1188" w:header="0" w:top="1304" w:footer="994" w:bottom="1753" w:gutter="0"/>
          <w:pgNumType w:fmt="decimal"/>
          <w:formProt w:val="false"/>
          <w:textDirection w:val="lrTb"/>
          <w:docGrid w:type="default" w:linePitch="360" w:charSpace="0"/>
        </w:sectPr>
      </w:pPr>
    </w:p>
    <w:sectPr>
      <w:type w:val="continuous"/>
      <w:pgSz w:w="11906" w:h="16838"/>
      <w:pgMar w:left="1628" w:right="2310" w:header="0" w:top="1304" w:footer="720" w:bottom="135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0"/>
      <w:ind w:right="65" w:hanging="0"/>
      <w:jc w:val="center"/>
      <w:rPr>
        <w:rFonts w:ascii="Times New Roman" w:hAnsi="Times New Roman" w:eastAsia="Times New Roman" w:cs="Times New Roman"/>
        <w:sz w:val="24"/>
      </w:rPr>
    </w:pPr>
    <w:r>
      <w:rPr/>
      <w:fldChar w:fldCharType="begin"/>
    </w:r>
    <w:r>
      <w:instrText> PAGE </w:instrText>
    </w:r>
    <w:r>
      <w:fldChar w:fldCharType="separate"/>
    </w:r>
    <w:r>
      <w:t>6</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753" w:hanging="0"/>
      </w:pPr>
      <w:rPr>
        <w:rFonts w:ascii="Symbol" w:hAnsi="Symbol" w:cs="Symbol" w:hint="default"/>
        <w:dstrike w:val="false"/>
        <w:strike w:val="false"/>
        <w:vertAlign w:val="baseline"/>
        <w:position w:val="0"/>
        <w:sz w:val="32"/>
        <w:sz w:val="32"/>
        <w:i w:val="false"/>
        <w:u w:val="none" w:color="000000"/>
        <w:b w:val="false"/>
        <w:shd w:fill="auto" w:val="clear"/>
        <w:szCs w:val="32"/>
        <w:rFonts w:cs="Calibri"/>
        <w:color w:val="000000"/>
        <w:lang w:val="fr-F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56" w:before="0" w:after="160"/>
    </w:pPr>
    <w:rPr>
      <w:rFonts w:ascii="Calibri" w:hAnsi="Calibri" w:eastAsia="Calibri" w:cs="Calibri"/>
      <w:color w:val="000000"/>
      <w:sz w:val="22"/>
      <w:szCs w:val="22"/>
      <w:lang w:val="en-US" w:bidi="ar-SA" w:eastAsia="zh-CN"/>
    </w:rPr>
  </w:style>
  <w:style w:type="paragraph" w:styleId="Heading1">
    <w:name w:val="Heading 1"/>
    <w:next w:val="Normal"/>
    <w:qFormat/>
    <w:pPr>
      <w:keepNext w:val="true"/>
      <w:keepLines/>
      <w:widowControl/>
      <w:numPr>
        <w:ilvl w:val="0"/>
        <w:numId w:val="1"/>
      </w:numPr>
      <w:spacing w:lineRule="auto" w:line="256" w:before="0" w:after="119"/>
      <w:ind w:left="154" w:hanging="10"/>
      <w:outlineLvl w:val="0"/>
    </w:pPr>
    <w:rPr>
      <w:rFonts w:ascii="Calibri" w:hAnsi="Calibri" w:eastAsia="Calibri" w:cs="Calibri"/>
      <w:color w:val="000000"/>
      <w:sz w:val="28"/>
      <w:szCs w:val="22"/>
      <w:lang w:val="en-US" w:bidi="ar-SA" w:eastAsia="zh-CN"/>
    </w:rPr>
  </w:style>
  <w:style w:type="character" w:styleId="WW8Num1z0">
    <w:name w:val="WW8Num1z0"/>
    <w:qFormat/>
    <w:rPr>
      <w:rFonts w:ascii="Calibri" w:hAnsi="Calibri" w:eastAsia="Calibri" w:cs="Calibri"/>
      <w:b w:val="false"/>
      <w:i w:val="false"/>
      <w:strike w:val="false"/>
      <w:dstrike w:val="false"/>
      <w:color w:val="000000"/>
      <w:position w:val="0"/>
      <w:sz w:val="32"/>
      <w:sz w:val="32"/>
      <w:szCs w:val="32"/>
      <w:u w:val="none" w:color="000000"/>
      <w:shd w:fill="auto" w:val="clear"/>
      <w:vertAlign w:val="baseline"/>
      <w:lang w:val="fr-FR"/>
    </w:rPr>
  </w:style>
  <w:style w:type="character" w:styleId="Policepardfaut">
    <w:name w:val="Police par défaut"/>
    <w:qFormat/>
    <w:rPr/>
  </w:style>
  <w:style w:type="character" w:styleId="Titre1Car">
    <w:name w:val="Titre 1 Car"/>
    <w:qFormat/>
    <w:rPr>
      <w:rFonts w:ascii="Calibri" w:hAnsi="Calibri" w:eastAsia="Calibri" w:cs="Calibri"/>
      <w:color w:val="000000"/>
      <w:sz w:val="28"/>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ooter">
    <w:name w:val="Footer"/>
    <w:basedOn w:val="Normal"/>
    <w:pPr>
      <w:suppressLineNumbers/>
      <w:tabs>
        <w:tab w:val="center" w:pos="4819" w:leader="none"/>
        <w:tab w:val="right" w:pos="9638"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2022-07-11T15:34:00Z</dcterms:created>
  <dc:creator/>
  <dc:description/>
  <dc:language>en-GB</dc:language>
  <cp:lastModifiedBy/>
  <dcterms:modified xsi:type="dcterms:W3CDTF">2022-07-11T15:34:00Z</dcterms:modified>
  <cp:revision>2</cp:revision>
  <dc:subject/>
  <dc:title/>
</cp:coreProperties>
</file>