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bottom w:val="single" w:sz="12" w:space="1" w:color="000000"/>
        </w:pBdr>
        <w:spacing w:lineRule="auto" w:line="312"/>
        <w:ind w:left="-480" w:right="-302" w:hanging="0"/>
        <w:jc w:val="center"/>
        <w:rPr>
          <w:rFonts w:ascii="Verdana" w:hAnsi="Verdana" w:cs="Verdana"/>
          <w:b/>
          <w:b/>
          <w:bCs/>
          <w:sz w:val="48"/>
          <w:szCs w:val="48"/>
        </w:rPr>
      </w:pPr>
      <w:r>
        <w:rPr>
          <w:rFonts w:cs="Verdana" w:ascii="Verdana" w:hAnsi="Verdana"/>
          <w:b/>
          <w:bCs/>
          <w:sz w:val="48"/>
          <w:szCs w:val="48"/>
        </w:rPr>
        <w:t>PROCES VERBAL</w:t>
      </w:r>
    </w:p>
    <w:p>
      <w:pPr>
        <w:pStyle w:val="Normal"/>
        <w:numPr>
          <w:ilvl w:val="0"/>
          <w:numId w:val="0"/>
        </w:numPr>
        <w:pBdr>
          <w:bottom w:val="single" w:sz="12" w:space="1" w:color="000000"/>
        </w:pBdr>
        <w:spacing w:lineRule="auto" w:line="312"/>
        <w:ind w:left="-480" w:right="-302" w:hanging="0"/>
        <w:jc w:val="center"/>
        <w:outlineLvl w:val="0"/>
        <w:rPr>
          <w:rFonts w:ascii="Verdana" w:hAnsi="Verdana" w:eastAsia="Arial Unicode MS" w:cs="Verdana"/>
          <w:b/>
          <w:b/>
          <w:sz w:val="48"/>
          <w:szCs w:val="48"/>
        </w:rPr>
      </w:pPr>
      <w:r>
        <w:rPr>
          <w:rFonts w:cs="Verdana" w:ascii="Verdana" w:hAnsi="Verdana"/>
          <w:b/>
          <w:bCs/>
          <w:sz w:val="48"/>
          <w:szCs w:val="48"/>
        </w:rPr>
        <w:t>ACCORD D’ENTREPRISE</w:t>
      </w:r>
    </w:p>
    <w:p>
      <w:pPr>
        <w:pStyle w:val="Normal"/>
        <w:pBdr>
          <w:bottom w:val="single" w:sz="12" w:space="1" w:color="000000"/>
        </w:pBdr>
        <w:spacing w:lineRule="auto" w:line="312"/>
        <w:ind w:left="-480" w:right="-302" w:hanging="0"/>
        <w:jc w:val="center"/>
        <w:rPr>
          <w:rFonts w:ascii="Verdana" w:hAnsi="Verdana" w:eastAsia="Arial Unicode MS" w:cs="Verdana"/>
          <w:b/>
          <w:b/>
          <w:sz w:val="48"/>
          <w:szCs w:val="48"/>
        </w:rPr>
      </w:pPr>
      <w:r>
        <w:rPr>
          <w:rFonts w:eastAsia="Arial Unicode MS" w:cs="Verdana" w:ascii="Verdana" w:hAnsi="Verdana"/>
          <w:b/>
          <w:sz w:val="48"/>
          <w:szCs w:val="48"/>
        </w:rPr>
        <w:t>NEGOCIATIONS ANNUELLES 2018</w:t>
      </w:r>
    </w:p>
    <w:p>
      <w:pPr>
        <w:pStyle w:val="Normal"/>
        <w:spacing w:lineRule="auto" w:line="312"/>
        <w:ind w:left="-480" w:right="-302" w:hanging="0"/>
        <w:jc w:val="center"/>
        <w:rPr>
          <w:rFonts w:ascii="Verdana" w:hAnsi="Verdana" w:cs="Verdana"/>
          <w:sz w:val="20"/>
          <w:szCs w:val="20"/>
        </w:rPr>
      </w:pPr>
      <w:r>
        <w:rPr>
          <w:rFonts w:eastAsia="Arial Unicode MS" w:cs="Verdana" w:ascii="Verdana" w:hAnsi="Verdana"/>
          <w:b/>
          <w:sz w:val="20"/>
          <w:szCs w:val="20"/>
        </w:rPr>
        <w:br/>
      </w:r>
    </w:p>
    <w:p>
      <w:pPr>
        <w:pStyle w:val="Normal"/>
        <w:spacing w:lineRule="auto" w:line="312"/>
        <w:ind w:left="-480" w:right="-302" w:hanging="0"/>
        <w:jc w:val="center"/>
        <w:rPr>
          <w:rFonts w:ascii="Verdana" w:hAnsi="Verdana" w:cs="Verdana"/>
          <w:sz w:val="20"/>
          <w:szCs w:val="20"/>
        </w:rPr>
      </w:pPr>
      <w:r>
        <w:rPr>
          <w:rFonts w:cs="Verdana" w:ascii="Verdana" w:hAnsi="Verdana"/>
          <w:sz w:val="20"/>
          <w:szCs w:val="20"/>
        </w:rPr>
      </w:r>
    </w:p>
    <w:p>
      <w:pPr>
        <w:pStyle w:val="Normal"/>
        <w:spacing w:lineRule="auto" w:line="312"/>
        <w:rPr>
          <w:rFonts w:ascii="Verdana" w:hAnsi="Verdana" w:cs="Verdana"/>
          <w:sz w:val="20"/>
          <w:szCs w:val="20"/>
        </w:rPr>
      </w:pPr>
      <w:r>
        <w:rPr>
          <w:rFonts w:cs="Verdana" w:ascii="Verdana" w:hAnsi="Verdana"/>
          <w:sz w:val="20"/>
          <w:szCs w:val="20"/>
        </w:rPr>
        <w:t>Entre les soussignés :</w:t>
      </w:r>
    </w:p>
    <w:p>
      <w:pPr>
        <w:pStyle w:val="Normal"/>
        <w:spacing w:lineRule="auto" w:line="312"/>
        <w:jc w:val="center"/>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bCs/>
          <w:sz w:val="20"/>
          <w:szCs w:val="20"/>
        </w:rPr>
      </w:pPr>
      <w:r>
        <w:rPr>
          <w:rFonts w:cs="Verdana" w:ascii="Verdana" w:hAnsi="Verdana"/>
          <w:sz w:val="20"/>
          <w:szCs w:val="20"/>
        </w:rPr>
        <w:t xml:space="preserve">La société </w:t>
      </w:r>
      <w:r>
        <w:rPr>
          <w:rFonts w:cs="Verdana" w:ascii="Verdana" w:hAnsi="Verdana"/>
          <w:b/>
          <w:sz w:val="20"/>
          <w:szCs w:val="20"/>
        </w:rPr>
        <w:t>TRANSAVOIE</w:t>
      </w:r>
      <w:r>
        <w:rPr>
          <w:rFonts w:cs="Verdana" w:ascii="Verdana" w:hAnsi="Verdana"/>
          <w:bCs/>
          <w:sz w:val="20"/>
          <w:szCs w:val="20"/>
        </w:rPr>
        <w:t xml:space="preserve">, dont le siège social est sis : 926 avenue de la Houille Blanche – 73000 CHAMBERY, représentée par son Directeur, </w:t>
      </w:r>
    </w:p>
    <w:p>
      <w:pPr>
        <w:pStyle w:val="Normal"/>
        <w:spacing w:lineRule="auto" w:line="312"/>
        <w:jc w:val="both"/>
        <w:rPr>
          <w:rFonts w:ascii="Verdana" w:hAnsi="Verdana" w:cs="Verdana"/>
          <w:bCs/>
          <w:sz w:val="8"/>
          <w:szCs w:val="8"/>
        </w:rPr>
      </w:pPr>
      <w:r>
        <w:rPr>
          <w:rFonts w:cs="Verdana" w:ascii="Verdana" w:hAnsi="Verdana"/>
          <w:bCs/>
          <w:sz w:val="8"/>
          <w:szCs w:val="8"/>
        </w:rPr>
      </w:r>
    </w:p>
    <w:p>
      <w:pPr>
        <w:pStyle w:val="Normal"/>
        <w:spacing w:lineRule="auto" w:line="312"/>
        <w:jc w:val="right"/>
        <w:rPr>
          <w:rFonts w:ascii="Verdana" w:hAnsi="Verdana" w:cs="Verdana"/>
          <w:sz w:val="20"/>
          <w:szCs w:val="20"/>
        </w:rPr>
      </w:pPr>
      <w:r>
        <w:rPr>
          <w:rFonts w:cs="Verdana" w:ascii="Verdana" w:hAnsi="Verdana"/>
          <w:sz w:val="20"/>
          <w:szCs w:val="20"/>
        </w:rPr>
        <w:t>D’une part,</w:t>
      </w:r>
    </w:p>
    <w:p>
      <w:pPr>
        <w:pStyle w:val="Normal"/>
        <w:spacing w:lineRule="auto" w:line="312"/>
        <w:rPr>
          <w:rFonts w:ascii="Verdana" w:hAnsi="Verdana" w:cs="Verdana"/>
          <w:bCs/>
          <w:sz w:val="20"/>
          <w:szCs w:val="20"/>
        </w:rPr>
      </w:pPr>
      <w:r>
        <w:rPr>
          <w:rFonts w:cs="Verdana" w:ascii="Verdana" w:hAnsi="Verdana"/>
          <w:bCs/>
          <w:sz w:val="20"/>
          <w:szCs w:val="20"/>
        </w:rPr>
        <w:t>Et :</w:t>
      </w:r>
    </w:p>
    <w:p>
      <w:pPr>
        <w:pStyle w:val="Normal"/>
        <w:spacing w:lineRule="auto" w:line="312"/>
        <w:jc w:val="both"/>
        <w:rPr>
          <w:rFonts w:ascii="Verdana" w:hAnsi="Verdana" w:cs="Verdana"/>
          <w:bCs/>
          <w:sz w:val="10"/>
          <w:szCs w:val="10"/>
        </w:rPr>
      </w:pPr>
      <w:r>
        <w:rPr>
          <w:rFonts w:cs="Verdana" w:ascii="Verdana" w:hAnsi="Verdana"/>
          <w:bCs/>
          <w:sz w:val="10"/>
          <w:szCs w:val="10"/>
        </w:rPr>
      </w:r>
    </w:p>
    <w:p>
      <w:pPr>
        <w:pStyle w:val="Normal"/>
        <w:numPr>
          <w:ilvl w:val="0"/>
          <w:numId w:val="0"/>
        </w:numPr>
        <w:spacing w:lineRule="auto" w:line="312"/>
        <w:jc w:val="both"/>
        <w:outlineLvl w:val="0"/>
        <w:rPr>
          <w:rFonts w:ascii="Verdana" w:hAnsi="Verdana" w:cs="Verdana"/>
          <w:sz w:val="20"/>
          <w:szCs w:val="20"/>
        </w:rPr>
      </w:pPr>
      <w:r>
        <w:rPr>
          <w:rFonts w:cs="Verdana" w:ascii="Verdana" w:hAnsi="Verdana"/>
          <w:sz w:val="20"/>
          <w:szCs w:val="20"/>
        </w:rPr>
        <w:t>pour la CFDT</w:t>
      </w:r>
    </w:p>
    <w:p>
      <w:pPr>
        <w:pStyle w:val="Normal"/>
        <w:numPr>
          <w:ilvl w:val="0"/>
          <w:numId w:val="0"/>
        </w:numPr>
        <w:spacing w:lineRule="auto" w:line="312"/>
        <w:jc w:val="both"/>
        <w:outlineLvl w:val="0"/>
        <w:rPr>
          <w:rFonts w:ascii="Verdana" w:hAnsi="Verdana" w:cs="Verdana"/>
          <w:sz w:val="20"/>
          <w:szCs w:val="20"/>
        </w:rPr>
      </w:pPr>
      <w:r>
        <w:rPr>
          <w:rFonts w:cs="Verdana" w:ascii="Verdana" w:hAnsi="Verdana"/>
          <w:sz w:val="20"/>
          <w:szCs w:val="20"/>
        </w:rPr>
        <w:t>pour la CFE-CGC</w:t>
      </w:r>
    </w:p>
    <w:p>
      <w:pPr>
        <w:pStyle w:val="Normal"/>
        <w:numPr>
          <w:ilvl w:val="0"/>
          <w:numId w:val="0"/>
        </w:numPr>
        <w:spacing w:lineRule="auto" w:line="312"/>
        <w:jc w:val="both"/>
        <w:outlineLvl w:val="0"/>
        <w:rPr>
          <w:rFonts w:ascii="Verdana" w:hAnsi="Verdana" w:cs="Verdana"/>
          <w:sz w:val="20"/>
          <w:szCs w:val="20"/>
        </w:rPr>
      </w:pPr>
      <w:r>
        <w:rPr>
          <w:rFonts w:cs="Verdana" w:ascii="Verdana" w:hAnsi="Verdana"/>
          <w:sz w:val="20"/>
          <w:szCs w:val="20"/>
        </w:rPr>
        <w:t>pour la CFTC</w:t>
      </w:r>
    </w:p>
    <w:p>
      <w:pPr>
        <w:pStyle w:val="Normal"/>
        <w:spacing w:lineRule="auto" w:line="312"/>
        <w:jc w:val="both"/>
        <w:rPr>
          <w:rFonts w:ascii="Verdana" w:hAnsi="Verdana" w:cs="Verdana"/>
          <w:sz w:val="20"/>
          <w:szCs w:val="20"/>
        </w:rPr>
      </w:pPr>
      <w:r>
        <w:rPr>
          <w:rFonts w:cs="Verdana" w:ascii="Verdana" w:hAnsi="Verdana"/>
          <w:sz w:val="20"/>
          <w:szCs w:val="20"/>
        </w:rPr>
        <w:t>pour la CGT,</w:t>
      </w:r>
    </w:p>
    <w:p>
      <w:pPr>
        <w:pStyle w:val="Normal"/>
        <w:spacing w:lineRule="auto" w:line="312"/>
        <w:jc w:val="both"/>
        <w:rPr>
          <w:rFonts w:ascii="Verdana" w:hAnsi="Verdana" w:cs="Verdana"/>
          <w:sz w:val="20"/>
          <w:szCs w:val="20"/>
        </w:rPr>
      </w:pPr>
      <w:r>
        <w:rPr>
          <w:rFonts w:cs="Verdana" w:ascii="Verdana" w:hAnsi="Verdana"/>
          <w:sz w:val="20"/>
          <w:szCs w:val="20"/>
        </w:rPr>
        <w:t>pour FO,</w:t>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right"/>
        <w:rPr>
          <w:rFonts w:ascii="Verdana" w:hAnsi="Verdana" w:cs="Verdana"/>
          <w:sz w:val="20"/>
          <w:szCs w:val="20"/>
        </w:rPr>
      </w:pPr>
      <w:r>
        <w:rPr>
          <w:rFonts w:cs="Verdana" w:ascii="Verdana" w:hAnsi="Verdana"/>
          <w:sz w:val="20"/>
          <w:szCs w:val="20"/>
        </w:rPr>
        <w:t>D’autre part.</w:t>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numPr>
          <w:ilvl w:val="0"/>
          <w:numId w:val="0"/>
        </w:numPr>
        <w:pBdr>
          <w:top w:val="single" w:sz="8" w:space="1" w:color="000000"/>
          <w:left w:val="single" w:sz="8" w:space="4" w:color="000000"/>
          <w:bottom w:val="single" w:sz="8" w:space="1" w:color="000000"/>
          <w:right w:val="single" w:sz="8" w:space="4" w:color="000000"/>
        </w:pBdr>
        <w:spacing w:lineRule="auto" w:line="312"/>
        <w:jc w:val="center"/>
        <w:outlineLvl w:val="0"/>
        <w:rPr>
          <w:rFonts w:ascii="Verdana" w:hAnsi="Verdana" w:cs="Verdana"/>
          <w:b/>
          <w:b/>
          <w:sz w:val="20"/>
          <w:szCs w:val="20"/>
        </w:rPr>
      </w:pPr>
      <w:r>
        <w:rPr>
          <w:rFonts w:cs="Verdana" w:ascii="Verdana" w:hAnsi="Verdana"/>
          <w:b/>
          <w:sz w:val="20"/>
          <w:szCs w:val="20"/>
        </w:rPr>
        <w:t>PREAMBULE</w:t>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t>Des discussions ont été menées les 22 novembre, 13 et 20 décembre 2017, au titre de la négociation annuelle pour 2018.</w:t>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pPr>
      <w:r>
        <w:rPr>
          <w:rFonts w:cs="Verdana" w:ascii="Verdana" w:hAnsi="Verdana"/>
          <w:sz w:val="20"/>
          <w:szCs w:val="20"/>
        </w:rPr>
        <w:t>Les éléments contextuels ont été abordés en préambule des négociations avec notamment :</w:t>
      </w:r>
    </w:p>
    <w:p>
      <w:pPr>
        <w:pStyle w:val="Normal"/>
        <w:spacing w:lineRule="auto" w:line="312"/>
        <w:jc w:val="both"/>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Paragraphedeliste"/>
        <w:ind w:left="993" w:hanging="0"/>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t>En tenant compte de ce contexte, les intérêts et préoccupations exprimés par les Parties ont conduit à évoquer différentes hypothèses de travail, pour s’orienter de façon plus particulière vers la combinaison de différentes mesures :</w:t>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numPr>
          <w:ilvl w:val="0"/>
          <w:numId w:val="2"/>
        </w:numPr>
        <w:spacing w:lineRule="auto" w:line="312"/>
        <w:ind w:left="993" w:hanging="360"/>
        <w:jc w:val="both"/>
        <w:rPr>
          <w:rFonts w:ascii="Verdana" w:hAnsi="Verdana" w:cs="Verdana"/>
          <w:sz w:val="20"/>
          <w:szCs w:val="20"/>
        </w:rPr>
      </w:pPr>
      <w:r>
        <w:rPr>
          <w:rFonts w:cs="Verdana" w:ascii="Verdana" w:hAnsi="Verdana"/>
          <w:sz w:val="20"/>
          <w:szCs w:val="20"/>
        </w:rPr>
        <w:t>La réévaluation du taux horaire,</w:t>
      </w:r>
    </w:p>
    <w:p>
      <w:pPr>
        <w:pStyle w:val="Normal"/>
        <w:numPr>
          <w:ilvl w:val="0"/>
          <w:numId w:val="2"/>
        </w:numPr>
        <w:spacing w:lineRule="auto" w:line="312"/>
        <w:ind w:left="993" w:hanging="360"/>
        <w:jc w:val="both"/>
        <w:rPr>
          <w:rFonts w:ascii="Verdana" w:hAnsi="Verdana" w:cs="Verdana"/>
          <w:sz w:val="20"/>
          <w:szCs w:val="20"/>
        </w:rPr>
      </w:pPr>
      <w:r>
        <w:rPr>
          <w:rFonts w:cs="Verdana" w:ascii="Verdana" w:hAnsi="Verdana"/>
          <w:sz w:val="20"/>
          <w:szCs w:val="20"/>
        </w:rPr>
        <w:t>La réévaluation d’éléments hors taux horaire,</w:t>
      </w:r>
    </w:p>
    <w:p>
      <w:pPr>
        <w:pStyle w:val="Normal"/>
        <w:numPr>
          <w:ilvl w:val="0"/>
          <w:numId w:val="2"/>
        </w:numPr>
        <w:spacing w:lineRule="auto" w:line="312"/>
        <w:ind w:left="993" w:hanging="360"/>
        <w:jc w:val="both"/>
        <w:rPr>
          <w:rFonts w:ascii="Verdana" w:hAnsi="Verdana" w:cs="Verdana"/>
          <w:sz w:val="20"/>
          <w:szCs w:val="20"/>
        </w:rPr>
      </w:pPr>
      <w:r>
        <w:rPr>
          <w:rFonts w:cs="Verdana" w:ascii="Verdana" w:hAnsi="Verdana"/>
          <w:sz w:val="20"/>
          <w:szCs w:val="20"/>
        </w:rPr>
        <w:t>La création d’une Prime Qualité et de Non Accident.</w:t>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t>Ce, en identifiant des leviers dans les accords et pratiques actuelles permettant de bonifier le taux horaire et les autres éléments.</w:t>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numPr>
          <w:ilvl w:val="0"/>
          <w:numId w:val="0"/>
        </w:numPr>
        <w:pBdr>
          <w:top w:val="single" w:sz="8" w:space="1" w:color="000000"/>
          <w:left w:val="single" w:sz="8" w:space="4" w:color="000000"/>
          <w:bottom w:val="single" w:sz="8" w:space="1" w:color="000000"/>
          <w:right w:val="single" w:sz="8" w:space="4" w:color="000000"/>
        </w:pBdr>
        <w:spacing w:lineRule="auto" w:line="312"/>
        <w:jc w:val="center"/>
        <w:outlineLvl w:val="0"/>
        <w:rPr>
          <w:rFonts w:ascii="Verdana" w:hAnsi="Verdana" w:cs="Verdana"/>
          <w:b/>
          <w:b/>
          <w:smallCaps/>
          <w:sz w:val="20"/>
          <w:szCs w:val="20"/>
        </w:rPr>
      </w:pPr>
      <w:r>
        <w:rPr>
          <w:rFonts w:cs="Verdana" w:ascii="Verdana" w:hAnsi="Verdana"/>
          <w:b/>
          <w:smallCaps/>
          <w:sz w:val="20"/>
          <w:szCs w:val="20"/>
        </w:rPr>
        <w:t>I- EGALITE PROFESSIONNELLE ENTRE LES FEMMES ET LES HOMMES</w:t>
      </w:r>
    </w:p>
    <w:p>
      <w:pPr>
        <w:pStyle w:val="Normal"/>
        <w:spacing w:lineRule="auto" w:line="312"/>
        <w:jc w:val="both"/>
        <w:rPr>
          <w:rFonts w:ascii="Verdana" w:hAnsi="Verdana" w:cs="Verdana"/>
          <w:b/>
          <w:b/>
          <w:smallCaps/>
          <w:sz w:val="20"/>
          <w:szCs w:val="20"/>
        </w:rPr>
      </w:pPr>
      <w:r>
        <w:rPr>
          <w:rFonts w:cs="Verdana" w:ascii="Verdana" w:hAnsi="Verdana"/>
          <w:b/>
          <w:smallCaps/>
          <w:sz w:val="20"/>
          <w:szCs w:val="20"/>
        </w:rPr>
      </w:r>
    </w:p>
    <w:p>
      <w:pPr>
        <w:pStyle w:val="Normal"/>
        <w:spacing w:lineRule="auto" w:line="312"/>
        <w:jc w:val="both"/>
        <w:rPr/>
      </w:pPr>
      <w:r>
        <w:rPr>
          <w:rFonts w:cs="Verdana" w:ascii="Verdana" w:hAnsi="Verdana"/>
          <w:sz w:val="20"/>
          <w:szCs w:val="20"/>
        </w:rPr>
        <w:t xml:space="preserve">Des tableaux extraits du rapport économique et social de l’exercice 2016 ont été présentés afin d’apprécier la situation comparée des Femmes et des Hommes, plus particulièrement au regard du recrutement, de l’emploi, de la formation et de la rémunération. </w:t>
      </w:r>
    </w:p>
    <w:p>
      <w:pPr>
        <w:pStyle w:val="Normal"/>
        <w:spacing w:lineRule="auto" w:line="312"/>
        <w:jc w:val="both"/>
        <w:rPr/>
      </w:pPr>
      <w:r>
        <w:rPr>
          <w:rFonts w:cs="Verdana" w:ascii="Verdana" w:hAnsi="Verdana"/>
          <w:sz w:val="20"/>
          <w:szCs w:val="20"/>
        </w:rPr>
        <w:t>Suite à cette présentation, les membres des Délégations syndicales n’ont formulé aucune remarque quant à une inégalité de traitement. Ils constatent que les pratiques de gestion et de rémunération sont conformes au principe d’égalité hommes-femmes.</w:t>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numPr>
          <w:ilvl w:val="0"/>
          <w:numId w:val="0"/>
        </w:numPr>
        <w:pBdr>
          <w:top w:val="single" w:sz="8" w:space="1" w:color="000000"/>
          <w:left w:val="single" w:sz="8" w:space="4" w:color="000000"/>
          <w:bottom w:val="single" w:sz="8" w:space="1" w:color="000000"/>
          <w:right w:val="single" w:sz="8" w:space="4" w:color="000000"/>
        </w:pBdr>
        <w:spacing w:lineRule="auto" w:line="312"/>
        <w:jc w:val="center"/>
        <w:outlineLvl w:val="0"/>
        <w:rPr>
          <w:rFonts w:ascii="Verdana" w:hAnsi="Verdana" w:cs="Verdana"/>
          <w:b/>
          <w:b/>
          <w:sz w:val="20"/>
          <w:szCs w:val="20"/>
        </w:rPr>
      </w:pPr>
      <w:r>
        <w:rPr>
          <w:rFonts w:cs="Verdana" w:ascii="Verdana" w:hAnsi="Verdana"/>
          <w:b/>
          <w:sz w:val="20"/>
          <w:szCs w:val="20"/>
        </w:rPr>
        <w:t>II - DISPOSITIONS SALARIALES</w:t>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sz w:val="20"/>
          <w:szCs w:val="20"/>
        </w:rPr>
        <w:t xml:space="preserve">Les taux horaires et salaires mensuels de base de l’ensemble des personnels hors Cadres relevant de la Convention Collective Nationale des Transports (CCNTR) ou de la Convention Collective Voies Ferrées d’Intérêt Local (CCVFIL) font l’objet d’une revalorisation de </w:t>
      </w:r>
      <w:r>
        <w:rPr>
          <w:rFonts w:cs="Verdana" w:ascii="Verdana" w:hAnsi="Verdana"/>
          <w:b/>
          <w:sz w:val="20"/>
          <w:szCs w:val="20"/>
        </w:rPr>
        <w:t>0,85 %</w:t>
      </w:r>
      <w:r>
        <w:rPr>
          <w:rFonts w:cs="Verdana" w:ascii="Verdana" w:hAnsi="Verdana"/>
          <w:sz w:val="20"/>
          <w:szCs w:val="20"/>
        </w:rPr>
        <w:t xml:space="preserve"> à compter du </w:t>
      </w:r>
      <w:r>
        <w:rPr>
          <w:rFonts w:cs="Verdana" w:ascii="Verdana" w:hAnsi="Verdana"/>
          <w:b/>
          <w:sz w:val="20"/>
          <w:szCs w:val="20"/>
        </w:rPr>
        <w:t>1</w:t>
      </w:r>
      <w:r>
        <w:rPr>
          <w:rFonts w:cs="Verdana" w:ascii="Verdana" w:hAnsi="Verdana"/>
          <w:b/>
          <w:sz w:val="20"/>
          <w:szCs w:val="20"/>
          <w:vertAlign w:val="superscript"/>
        </w:rPr>
        <w:t>er</w:t>
      </w:r>
      <w:r>
        <w:rPr>
          <w:rFonts w:cs="Verdana" w:ascii="Verdana" w:hAnsi="Verdana"/>
          <w:b/>
          <w:sz w:val="20"/>
          <w:szCs w:val="20"/>
        </w:rPr>
        <w:t xml:space="preserve"> juin 2018.</w:t>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sz w:val="20"/>
          <w:szCs w:val="20"/>
        </w:rPr>
      </w:pPr>
      <w:r>
        <w:rPr>
          <w:rFonts w:cs="Verdana" w:ascii="Verdana" w:hAnsi="Verdana"/>
          <w:sz w:val="20"/>
          <w:szCs w:val="20"/>
        </w:rPr>
        <w:t>Les parties s’entendent pour réétudier pour les NAO 2019 les points suivants :</w:t>
      </w:r>
    </w:p>
    <w:p>
      <w:pPr>
        <w:pStyle w:val="Normal"/>
        <w:numPr>
          <w:ilvl w:val="0"/>
          <w:numId w:val="3"/>
        </w:numPr>
        <w:spacing w:lineRule="auto" w:line="312"/>
        <w:jc w:val="both"/>
        <w:rPr/>
      </w:pPr>
      <w:r>
        <w:rPr>
          <w:rFonts w:cs="Verdana" w:ascii="Verdana" w:hAnsi="Verdana"/>
          <w:sz w:val="20"/>
          <w:szCs w:val="20"/>
        </w:rPr>
        <w:t>Mise en place de la PQNA en 2019 (suivant niveau d’inflation 2018)</w:t>
      </w:r>
    </w:p>
    <w:p>
      <w:pPr>
        <w:pStyle w:val="Normal"/>
        <w:numPr>
          <w:ilvl w:val="0"/>
          <w:numId w:val="3"/>
        </w:numPr>
        <w:spacing w:lineRule="auto" w:line="312"/>
        <w:jc w:val="both"/>
        <w:rPr>
          <w:rFonts w:ascii="Verdana" w:hAnsi="Verdana" w:cs="Verdana"/>
          <w:sz w:val="20"/>
          <w:szCs w:val="20"/>
        </w:rPr>
      </w:pPr>
      <w:r>
        <w:rPr>
          <w:rFonts w:cs="Verdana" w:ascii="Verdana" w:hAnsi="Verdana"/>
          <w:sz w:val="20"/>
          <w:szCs w:val="20"/>
        </w:rPr>
        <w:t>Réévaluation de la prime d’astreinte planning</w:t>
      </w:r>
    </w:p>
    <w:p>
      <w:pPr>
        <w:pStyle w:val="Normal"/>
        <w:spacing w:lineRule="auto" w:line="312"/>
        <w:jc w:val="both"/>
        <w:rPr>
          <w:rFonts w:ascii="Verdana" w:hAnsi="Verdana" w:cs="Verdana"/>
          <w:sz w:val="20"/>
          <w:szCs w:val="20"/>
          <w:highlight w:val="yellow"/>
        </w:rPr>
      </w:pPr>
      <w:r>
        <w:rPr>
          <w:rFonts w:cs="Verdana" w:ascii="Verdana" w:hAnsi="Verdana"/>
          <w:sz w:val="20"/>
          <w:szCs w:val="20"/>
          <w:highlight w:val="yellow"/>
        </w:rPr>
      </w:r>
    </w:p>
    <w:p>
      <w:pPr>
        <w:pStyle w:val="Normal"/>
        <w:spacing w:lineRule="auto" w:line="312"/>
        <w:jc w:val="both"/>
        <w:rPr>
          <w:rFonts w:ascii="Verdana" w:hAnsi="Verdana" w:cs="Verdana"/>
          <w:sz w:val="20"/>
          <w:szCs w:val="20"/>
          <w:highlight w:val="yellow"/>
        </w:rPr>
      </w:pPr>
      <w:r>
        <w:rPr>
          <w:rFonts w:cs="Verdana" w:ascii="Verdana" w:hAnsi="Verdana"/>
          <w:sz w:val="20"/>
          <w:szCs w:val="20"/>
          <w:highlight w:val="yellow"/>
        </w:rPr>
      </w:r>
    </w:p>
    <w:p>
      <w:pPr>
        <w:pStyle w:val="Normal"/>
        <w:spacing w:lineRule="auto" w:line="312"/>
        <w:jc w:val="both"/>
        <w:rPr>
          <w:rFonts w:ascii="Verdana" w:hAnsi="Verdana" w:cs="Verdana"/>
          <w:smallCaps/>
          <w:sz w:val="20"/>
          <w:szCs w:val="20"/>
        </w:rPr>
      </w:pPr>
      <w:r>
        <w:rPr>
          <w:rFonts w:cs="Verdana" w:ascii="Verdana" w:hAnsi="Verdana"/>
          <w:smallCaps/>
          <w:sz w:val="20"/>
          <w:szCs w:val="20"/>
        </w:rPr>
        <w:t>iii.a</w:t>
        <w:tab/>
        <w:t>-</w:t>
        <w:tab/>
        <w:t>conducteurs « fntv »</w:t>
        <w:tab/>
        <w:tab/>
        <w:tab/>
        <w:t>}</w:t>
      </w:r>
    </w:p>
    <w:p>
      <w:pPr>
        <w:pStyle w:val="Normal"/>
        <w:spacing w:lineRule="auto" w:line="312"/>
        <w:jc w:val="both"/>
        <w:rPr>
          <w:rFonts w:ascii="Verdana" w:hAnsi="Verdana" w:cs="Verdana"/>
          <w:sz w:val="20"/>
          <w:szCs w:val="20"/>
        </w:rPr>
      </w:pPr>
      <w:r>
        <w:rPr>
          <w:rFonts w:cs="Verdana" w:ascii="Verdana" w:hAnsi="Verdana"/>
          <w:smallCaps/>
          <w:sz w:val="20"/>
          <w:szCs w:val="20"/>
        </w:rPr>
        <w:t>iii.b</w:t>
        <w:tab/>
        <w:t>-</w:t>
        <w:tab/>
        <w:t>conducteurs « vfil »</w:t>
        <w:tab/>
        <w:tab/>
        <w:tab/>
        <w:t>}</w:t>
      </w:r>
    </w:p>
    <w:p>
      <w:pPr>
        <w:pStyle w:val="Normal"/>
        <w:spacing w:lineRule="auto" w:line="312"/>
        <w:jc w:val="both"/>
        <w:rPr>
          <w:rFonts w:ascii="Verdana" w:hAnsi="Verdana" w:cs="Verdana"/>
          <w:smallCaps/>
          <w:sz w:val="20"/>
          <w:szCs w:val="20"/>
        </w:rPr>
      </w:pPr>
      <w:r>
        <w:rPr>
          <w:rFonts w:cs="Verdana" w:ascii="Verdana" w:hAnsi="Verdana"/>
          <w:smallCaps/>
          <w:sz w:val="20"/>
          <w:szCs w:val="20"/>
        </w:rPr>
        <w:t>iii.c</w:t>
        <w:tab/>
        <w:t>-</w:t>
        <w:tab/>
        <w:t>employés</w:t>
        <w:tab/>
        <w:tab/>
        <w:tab/>
        <w:tab/>
        <w:t>}</w:t>
        <w:tab/>
      </w:r>
      <w:r>
        <w:rPr>
          <w:rFonts w:cs="Verdana" w:ascii="Verdana" w:hAnsi="Verdana"/>
          <w:sz w:val="20"/>
          <w:szCs w:val="20"/>
        </w:rPr>
        <w:t>Grilles en annexes</w:t>
      </w:r>
    </w:p>
    <w:p>
      <w:pPr>
        <w:pStyle w:val="Normal"/>
        <w:spacing w:lineRule="auto" w:line="312"/>
        <w:jc w:val="both"/>
        <w:rPr>
          <w:rFonts w:ascii="Verdana" w:hAnsi="Verdana" w:cs="Verdana"/>
          <w:smallCaps/>
          <w:sz w:val="20"/>
          <w:szCs w:val="20"/>
        </w:rPr>
      </w:pPr>
      <w:r>
        <w:rPr>
          <w:rFonts w:cs="Verdana" w:ascii="Verdana" w:hAnsi="Verdana"/>
          <w:smallCaps/>
          <w:sz w:val="20"/>
          <w:szCs w:val="20"/>
        </w:rPr>
        <w:t>iii.d</w:t>
        <w:tab/>
        <w:t>-</w:t>
        <w:tab/>
        <w:t>ouvriers</w:t>
        <w:tab/>
        <w:tab/>
        <w:tab/>
        <w:tab/>
        <w:t>}</w:t>
      </w:r>
    </w:p>
    <w:p>
      <w:pPr>
        <w:pStyle w:val="Normal"/>
        <w:spacing w:lineRule="auto" w:line="312"/>
        <w:jc w:val="both"/>
        <w:rPr>
          <w:rFonts w:ascii="Verdana" w:hAnsi="Verdana" w:cs="Verdana"/>
          <w:smallCaps/>
          <w:sz w:val="20"/>
          <w:szCs w:val="20"/>
        </w:rPr>
      </w:pPr>
      <w:r>
        <w:rPr>
          <w:rFonts w:cs="Verdana" w:ascii="Verdana" w:hAnsi="Verdana"/>
          <w:smallCaps/>
          <w:sz w:val="20"/>
          <w:szCs w:val="20"/>
        </w:rPr>
        <w:t>iii.e</w:t>
        <w:tab/>
        <w:t>-</w:t>
        <w:tab/>
        <w:t>agents de maîtrise</w:t>
        <w:tab/>
        <w:tab/>
        <w:tab/>
        <w:t>}</w:t>
      </w:r>
    </w:p>
    <w:p>
      <w:pPr>
        <w:pStyle w:val="Normal"/>
        <w:spacing w:lineRule="auto" w:line="312"/>
        <w:jc w:val="both"/>
        <w:rPr>
          <w:rFonts w:ascii="Verdana" w:hAnsi="Verdana" w:cs="Verdana"/>
          <w:smallCaps/>
          <w:sz w:val="20"/>
          <w:szCs w:val="20"/>
        </w:rPr>
      </w:pPr>
      <w:r>
        <w:rPr>
          <w:rFonts w:cs="Verdana" w:ascii="Verdana" w:hAnsi="Verdana"/>
          <w:smallCaps/>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numPr>
          <w:ilvl w:val="0"/>
          <w:numId w:val="0"/>
        </w:numPr>
        <w:pBdr>
          <w:top w:val="single" w:sz="8" w:space="1" w:color="000000"/>
          <w:left w:val="single" w:sz="8" w:space="4" w:color="000000"/>
          <w:bottom w:val="single" w:sz="8" w:space="1" w:color="000000"/>
          <w:right w:val="single" w:sz="8" w:space="4" w:color="000000"/>
        </w:pBdr>
        <w:spacing w:lineRule="auto" w:line="312"/>
        <w:jc w:val="center"/>
        <w:outlineLvl w:val="0"/>
        <w:rPr/>
      </w:pPr>
      <w:r>
        <w:rPr>
          <w:rFonts w:cs="Verdana" w:ascii="Verdana" w:hAnsi="Verdana"/>
          <w:b/>
          <w:sz w:val="20"/>
          <w:szCs w:val="20"/>
        </w:rPr>
        <w:t>III – CONDITIONS D’APPLICATION ET PUBLICITE</w:t>
      </w:r>
    </w:p>
    <w:p>
      <w:pPr>
        <w:pStyle w:val="TextBody"/>
        <w:spacing w:lineRule="auto" w:line="312"/>
        <w:rPr>
          <w:rFonts w:ascii="Verdana" w:hAnsi="Verdana" w:cs="Verdana"/>
          <w:b/>
          <w:b/>
          <w:sz w:val="20"/>
          <w:szCs w:val="20"/>
        </w:rPr>
      </w:pPr>
      <w:r>
        <w:rPr>
          <w:rFonts w:cs="Verdana" w:ascii="Verdana" w:hAnsi="Verdana"/>
          <w:b/>
          <w:sz w:val="20"/>
          <w:szCs w:val="20"/>
        </w:rPr>
      </w:r>
    </w:p>
    <w:p>
      <w:pPr>
        <w:pStyle w:val="TextBody"/>
        <w:spacing w:lineRule="auto" w:line="312"/>
        <w:rPr>
          <w:rFonts w:ascii="Verdana" w:hAnsi="Verdana" w:cs="Verdana"/>
          <w:sz w:val="20"/>
          <w:szCs w:val="20"/>
        </w:rPr>
      </w:pPr>
      <w:r>
        <w:rPr>
          <w:rFonts w:cs="Verdana" w:ascii="Verdana" w:hAnsi="Verdana"/>
          <w:sz w:val="20"/>
          <w:szCs w:val="20"/>
        </w:rPr>
      </w:r>
    </w:p>
    <w:p>
      <w:pPr>
        <w:pStyle w:val="TextBody"/>
        <w:spacing w:lineRule="auto" w:line="312"/>
        <w:rPr/>
      </w:pPr>
      <w:r>
        <w:rPr>
          <w:rFonts w:cs="Verdana" w:ascii="Verdana" w:hAnsi="Verdana"/>
          <w:sz w:val="20"/>
          <w:szCs w:val="20"/>
        </w:rPr>
        <w:t>Il est expressément admis que les majorations convenues ci-dessus viendront en déduction de toute éventuelle augmentation salariale, notamment issue d’un accord de niveau supérieur, qui interviendrait au cours ou au titre de l’année 2018.</w:t>
      </w:r>
    </w:p>
    <w:p>
      <w:pPr>
        <w:pStyle w:val="TextBody"/>
        <w:spacing w:lineRule="auto" w:line="312"/>
        <w:rPr>
          <w:rFonts w:ascii="Verdana" w:hAnsi="Verdana" w:cs="Verdana"/>
          <w:sz w:val="20"/>
          <w:szCs w:val="20"/>
        </w:rPr>
      </w:pPr>
      <w:r>
        <w:rPr>
          <w:rFonts w:cs="Verdana" w:ascii="Verdana" w:hAnsi="Verdana"/>
          <w:sz w:val="20"/>
          <w:szCs w:val="20"/>
        </w:rPr>
        <w:t>Dans cette dernière hypothèse, l’application des éventuelles augmentations salariales déterminées par une norme supérieure à l’accord d’entreprise s’effectuera après réalisation de la déduction précitée.</w:t>
      </w:r>
    </w:p>
    <w:p>
      <w:pPr>
        <w:pStyle w:val="TextBody"/>
        <w:spacing w:lineRule="auto" w:line="312"/>
        <w:rPr>
          <w:rFonts w:ascii="Verdana" w:hAnsi="Verdana" w:cs="Verdana"/>
          <w:sz w:val="20"/>
          <w:szCs w:val="20"/>
        </w:rPr>
      </w:pPr>
      <w:r>
        <w:rPr>
          <w:rFonts w:cs="Verdana" w:ascii="Verdana" w:hAnsi="Verdana"/>
          <w:sz w:val="20"/>
          <w:szCs w:val="20"/>
        </w:rPr>
      </w:r>
    </w:p>
    <w:p>
      <w:pPr>
        <w:pStyle w:val="TextBody"/>
        <w:spacing w:lineRule="auto" w:line="312"/>
        <w:rPr>
          <w:rFonts w:ascii="Verdana" w:hAnsi="Verdana" w:cs="Verdana"/>
          <w:sz w:val="20"/>
          <w:szCs w:val="20"/>
        </w:rPr>
      </w:pPr>
      <w:r>
        <w:rPr>
          <w:rFonts w:cs="Verdana" w:ascii="Verdana" w:hAnsi="Verdana"/>
          <w:sz w:val="20"/>
          <w:szCs w:val="20"/>
        </w:rPr>
      </w:r>
    </w:p>
    <w:p>
      <w:pPr>
        <w:pStyle w:val="TextBody"/>
        <w:spacing w:lineRule="auto" w:line="312"/>
        <w:rPr/>
      </w:pPr>
      <w:r>
        <w:rPr>
          <w:rFonts w:cs="Verdana" w:ascii="Verdana" w:hAnsi="Verdana"/>
          <w:sz w:val="20"/>
          <w:szCs w:val="20"/>
        </w:rPr>
        <w:t>Le présent Accord fera l’objet des mesures de publicité prévues par l’article D 2231-2 du Code du Travail : il sera déposé en double exemplaire à la Direction départementale du travail de l’emploi et de la formation professionnelle, ainsi qu’un exemplaire au conseil des Prud’hommes compétent.</w:t>
      </w:r>
    </w:p>
    <w:p>
      <w:pPr>
        <w:pStyle w:val="TextBody"/>
        <w:spacing w:lineRule="auto" w:line="312"/>
        <w:rPr>
          <w:rFonts w:ascii="Verdana" w:hAnsi="Verdana" w:cs="Verdana"/>
          <w:sz w:val="20"/>
          <w:szCs w:val="20"/>
        </w:rPr>
      </w:pPr>
      <w:r>
        <w:rPr>
          <w:rFonts w:cs="Verdana" w:ascii="Verdana" w:hAnsi="Verdana"/>
          <w:sz w:val="20"/>
          <w:szCs w:val="20"/>
        </w:rPr>
      </w:r>
    </w:p>
    <w:p>
      <w:pPr>
        <w:pStyle w:val="TextBody"/>
        <w:spacing w:lineRule="auto" w:line="312"/>
        <w:rPr>
          <w:rFonts w:ascii="Verdana" w:hAnsi="Verdana" w:cs="Verdana"/>
          <w:sz w:val="20"/>
          <w:szCs w:val="20"/>
        </w:rPr>
      </w:pPr>
      <w:r>
        <w:rPr>
          <w:rFonts w:cs="Verdana" w:ascii="Verdana" w:hAnsi="Verdana"/>
          <w:sz w:val="20"/>
          <w:szCs w:val="20"/>
        </w:rPr>
      </w:r>
    </w:p>
    <w:p>
      <w:pPr>
        <w:pStyle w:val="TextBody"/>
        <w:spacing w:lineRule="auto" w:line="312"/>
        <w:rPr>
          <w:rFonts w:ascii="Verdana" w:hAnsi="Verdana" w:cs="Verdana"/>
          <w:sz w:val="20"/>
          <w:szCs w:val="20"/>
        </w:rPr>
      </w:pPr>
      <w:r>
        <w:rPr>
          <w:rFonts w:cs="Verdana" w:ascii="Verdana" w:hAnsi="Verdana"/>
          <w:sz w:val="20"/>
          <w:szCs w:val="20"/>
        </w:rPr>
      </w:r>
    </w:p>
    <w:p>
      <w:pPr>
        <w:pStyle w:val="TextBody"/>
        <w:spacing w:lineRule="auto" w:line="312"/>
        <w:rPr>
          <w:rFonts w:ascii="Verdana" w:hAnsi="Verdana" w:cs="Verdana"/>
          <w:sz w:val="20"/>
          <w:szCs w:val="20"/>
        </w:rPr>
      </w:pPr>
      <w:r>
        <w:rPr>
          <w:rFonts w:cs="Verdana" w:ascii="Verdana" w:hAnsi="Verdana"/>
          <w:sz w:val="20"/>
          <w:szCs w:val="20"/>
        </w:rPr>
      </w:r>
    </w:p>
    <w:p>
      <w:pPr>
        <w:pStyle w:val="TextBody"/>
        <w:spacing w:lineRule="auto" w:line="312"/>
        <w:rPr>
          <w:rFonts w:ascii="Verdana" w:hAnsi="Verdana" w:cs="Verdana"/>
          <w:sz w:val="20"/>
          <w:szCs w:val="20"/>
        </w:rPr>
      </w:pPr>
      <w:r>
        <w:rPr>
          <w:rFonts w:cs="Verdana" w:ascii="Verdana" w:hAnsi="Verdana"/>
          <w:sz w:val="20"/>
          <w:szCs w:val="20"/>
        </w:rPr>
      </w:r>
    </w:p>
    <w:p>
      <w:pPr>
        <w:pStyle w:val="Normal"/>
        <w:spacing w:lineRule="auto" w:line="312"/>
        <w:jc w:val="right"/>
        <w:rPr>
          <w:rFonts w:ascii="Verdana" w:hAnsi="Verdana" w:cs="Verdana"/>
          <w:sz w:val="20"/>
          <w:szCs w:val="20"/>
        </w:rPr>
      </w:pPr>
      <w:r>
        <w:rPr>
          <w:rFonts w:cs="Verdana" w:ascii="Verdana" w:hAnsi="Verdana"/>
          <w:sz w:val="20"/>
          <w:szCs w:val="20"/>
        </w:rPr>
        <w:t>Fait à Chambéry, en 8 exemplaires originaux, dont un pour chacune des Parties,</w:t>
      </w:r>
    </w:p>
    <w:p>
      <w:pPr>
        <w:pStyle w:val="Normal"/>
        <w:numPr>
          <w:ilvl w:val="0"/>
          <w:numId w:val="0"/>
        </w:numPr>
        <w:spacing w:lineRule="auto" w:line="312"/>
        <w:jc w:val="right"/>
        <w:outlineLvl w:val="0"/>
        <w:rPr/>
      </w:pPr>
      <w:r>
        <w:rPr>
          <w:rFonts w:cs="Verdana" w:ascii="Verdana" w:hAnsi="Verdana"/>
          <w:sz w:val="20"/>
          <w:szCs w:val="20"/>
        </w:rPr>
        <w:t>Le 20 décembre 2017.</w:t>
      </w:r>
    </w:p>
    <w:p>
      <w:pPr>
        <w:pStyle w:val="Normal"/>
        <w:spacing w:lineRule="auto" w:line="312"/>
        <w:jc w:val="both"/>
        <w:rPr>
          <w:rFonts w:ascii="Verdana" w:hAnsi="Verdana" w:cs="Verdana"/>
          <w:sz w:val="20"/>
          <w:szCs w:val="20"/>
        </w:rPr>
      </w:pPr>
      <w:r>
        <w:rPr>
          <w:rFonts w:cs="Verdana" w:ascii="Verdana" w:hAnsi="Verdana"/>
          <w:sz w:val="20"/>
          <w:szCs w:val="20"/>
        </w:rPr>
      </w:r>
    </w:p>
    <w:p>
      <w:pPr>
        <w:pStyle w:val="Normal"/>
        <w:spacing w:lineRule="auto" w:line="312"/>
        <w:jc w:val="both"/>
        <w:rPr>
          <w:rFonts w:ascii="Verdana" w:hAnsi="Verdana" w:cs="Verdana"/>
          <w:sz w:val="20"/>
          <w:szCs w:val="20"/>
        </w:rPr>
      </w:pPr>
      <w:r>
        <w:rPr>
          <w:rFonts w:cs="Verdana" w:ascii="Verdana" w:hAnsi="Verdana"/>
          <w:sz w:val="20"/>
          <w:szCs w:val="20"/>
        </w:rPr>
      </w:r>
    </w:p>
    <w:tbl>
      <w:tblPr>
        <w:tblW w:w="8833" w:type="dxa"/>
        <w:jc w:val="left"/>
        <w:tblInd w:w="708" w:type="dxa"/>
        <w:tblBorders/>
        <w:tblCellMar>
          <w:top w:w="0" w:type="dxa"/>
          <w:left w:w="108" w:type="dxa"/>
          <w:bottom w:w="0" w:type="dxa"/>
          <w:right w:w="108" w:type="dxa"/>
        </w:tblCellMar>
      </w:tblPr>
      <w:tblGrid>
        <w:gridCol w:w="4543"/>
        <w:gridCol w:w="4290"/>
      </w:tblGrid>
      <w:tr>
        <w:trPr/>
        <w:tc>
          <w:tcPr>
            <w:tcW w:w="4543" w:type="dxa"/>
            <w:tcBorders/>
            <w:shd w:fill="auto" w:val="clear"/>
          </w:tcPr>
          <w:p>
            <w:pPr>
              <w:pStyle w:val="Normal"/>
              <w:snapToGrid w:val="false"/>
              <w:spacing w:lineRule="auto" w:line="312"/>
              <w:rPr>
                <w:rFonts w:ascii="Verdana" w:hAnsi="Verdana" w:cs="Verdana"/>
                <w:b/>
                <w:b/>
                <w:sz w:val="20"/>
                <w:szCs w:val="20"/>
              </w:rPr>
            </w:pPr>
            <w:r>
              <w:rPr>
                <w:rFonts w:cs="Verdana" w:ascii="Verdana" w:hAnsi="Verdana"/>
                <w:b/>
                <w:sz w:val="20"/>
                <w:szCs w:val="20"/>
              </w:rPr>
            </w:r>
          </w:p>
        </w:tc>
        <w:tc>
          <w:tcPr>
            <w:tcW w:w="4290"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tc>
      </w:tr>
      <w:tr>
        <w:trPr/>
        <w:tc>
          <w:tcPr>
            <w:tcW w:w="4543" w:type="dxa"/>
            <w:tcBorders/>
            <w:shd w:fill="auto" w:val="clear"/>
          </w:tcPr>
          <w:p>
            <w:pPr>
              <w:pStyle w:val="Normal"/>
              <w:spacing w:lineRule="auto" w:line="312"/>
              <w:rPr>
                <w:rFonts w:ascii="Verdana" w:hAnsi="Verdana" w:cs="Verdana"/>
                <w:b/>
                <w:b/>
                <w:sz w:val="20"/>
                <w:szCs w:val="20"/>
              </w:rPr>
            </w:pPr>
            <w:r>
              <w:rPr>
                <w:rFonts w:cs="Verdana" w:ascii="Verdana" w:hAnsi="Verdana"/>
                <w:b/>
                <w:sz w:val="20"/>
                <w:szCs w:val="20"/>
              </w:rPr>
              <w:t>Directeur TRANSAVOIE</w:t>
            </w:r>
          </w:p>
        </w:tc>
        <w:tc>
          <w:tcPr>
            <w:tcW w:w="4290" w:type="dxa"/>
            <w:tcBorders/>
            <w:shd w:fill="auto" w:val="clear"/>
          </w:tcPr>
          <w:p>
            <w:pPr>
              <w:pStyle w:val="Normal"/>
              <w:spacing w:lineRule="auto" w:line="312"/>
              <w:jc w:val="both"/>
              <w:rPr>
                <w:rFonts w:ascii="Verdana" w:hAnsi="Verdana" w:cs="Verdana"/>
                <w:b/>
                <w:b/>
                <w:sz w:val="20"/>
                <w:szCs w:val="20"/>
              </w:rPr>
            </w:pPr>
            <w:r>
              <w:rPr>
                <w:rFonts w:cs="Verdana" w:ascii="Verdana" w:hAnsi="Verdana"/>
                <w:b/>
                <w:sz w:val="20"/>
                <w:szCs w:val="20"/>
              </w:rPr>
              <w:t>Délégué syndical CFDT</w:t>
            </w:r>
          </w:p>
        </w:tc>
      </w:tr>
      <w:tr>
        <w:trPr/>
        <w:tc>
          <w:tcPr>
            <w:tcW w:w="4543"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t>Délégué syndical CFE-CGC</w:t>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tc>
        <w:tc>
          <w:tcPr>
            <w:tcW w:w="4290"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r>
          </w:p>
          <w:p>
            <w:pPr>
              <w:pStyle w:val="Normal"/>
              <w:spacing w:lineRule="auto" w:line="312"/>
              <w:jc w:val="both"/>
              <w:rPr>
                <w:rFonts w:ascii="Verdana" w:hAnsi="Verdana" w:cs="Verdana"/>
                <w:b/>
                <w:b/>
                <w:sz w:val="20"/>
                <w:szCs w:val="20"/>
              </w:rPr>
            </w:pPr>
            <w:r>
              <w:rPr>
                <w:rFonts w:cs="Verdana" w:ascii="Verdana" w:hAnsi="Verdana"/>
                <w:b/>
                <w:sz w:val="20"/>
                <w:szCs w:val="20"/>
              </w:rPr>
              <w:t>Délégué syndical CFTC</w:t>
            </w:r>
          </w:p>
        </w:tc>
      </w:tr>
      <w:tr>
        <w:trPr/>
        <w:tc>
          <w:tcPr>
            <w:tcW w:w="4543"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tc>
        <w:tc>
          <w:tcPr>
            <w:tcW w:w="4290"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tc>
      </w:tr>
      <w:tr>
        <w:trPr/>
        <w:tc>
          <w:tcPr>
            <w:tcW w:w="4543" w:type="dxa"/>
            <w:tcBorders/>
            <w:shd w:fill="auto" w:val="clear"/>
          </w:tcPr>
          <w:p>
            <w:pPr>
              <w:pStyle w:val="Normal"/>
              <w:spacing w:lineRule="auto" w:line="312"/>
              <w:jc w:val="both"/>
              <w:rPr>
                <w:rFonts w:ascii="Verdana" w:hAnsi="Verdana" w:cs="Verdana"/>
                <w:b/>
                <w:b/>
                <w:sz w:val="20"/>
                <w:szCs w:val="20"/>
              </w:rPr>
            </w:pPr>
            <w:r>
              <w:rPr>
                <w:rFonts w:cs="Verdana" w:ascii="Verdana" w:hAnsi="Verdana"/>
                <w:b/>
                <w:sz w:val="20"/>
                <w:szCs w:val="20"/>
              </w:rPr>
              <w:t>Délégué syndical CGT</w:t>
            </w:r>
          </w:p>
        </w:tc>
        <w:tc>
          <w:tcPr>
            <w:tcW w:w="4290" w:type="dxa"/>
            <w:tcBorders/>
            <w:shd w:fill="auto" w:val="clear"/>
          </w:tcPr>
          <w:p>
            <w:pPr>
              <w:pStyle w:val="Normal"/>
              <w:spacing w:lineRule="auto" w:line="312"/>
              <w:jc w:val="both"/>
              <w:rPr>
                <w:rFonts w:ascii="Verdana" w:hAnsi="Verdana" w:cs="Verdana"/>
                <w:b/>
                <w:b/>
                <w:sz w:val="20"/>
                <w:szCs w:val="20"/>
              </w:rPr>
            </w:pPr>
            <w:r>
              <w:rPr>
                <w:rFonts w:cs="Verdana" w:ascii="Verdana" w:hAnsi="Verdana"/>
                <w:b/>
                <w:sz w:val="20"/>
                <w:szCs w:val="20"/>
              </w:rPr>
              <w:t>Délégué Syndical FO</w:t>
            </w:r>
          </w:p>
        </w:tc>
      </w:tr>
      <w:tr>
        <w:trPr/>
        <w:tc>
          <w:tcPr>
            <w:tcW w:w="4543"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tc>
        <w:tc>
          <w:tcPr>
            <w:tcW w:w="4290"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tc>
      </w:tr>
      <w:tr>
        <w:trPr/>
        <w:tc>
          <w:tcPr>
            <w:tcW w:w="4543"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tc>
        <w:tc>
          <w:tcPr>
            <w:tcW w:w="4290"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tc>
      </w:tr>
      <w:tr>
        <w:trPr/>
        <w:tc>
          <w:tcPr>
            <w:tcW w:w="4543"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tc>
        <w:tc>
          <w:tcPr>
            <w:tcW w:w="4290" w:type="dxa"/>
            <w:tcBorders/>
            <w:shd w:fill="auto" w:val="clear"/>
          </w:tcPr>
          <w:p>
            <w:pPr>
              <w:pStyle w:val="Normal"/>
              <w:snapToGrid w:val="false"/>
              <w:spacing w:lineRule="auto" w:line="312"/>
              <w:jc w:val="both"/>
              <w:rPr>
                <w:rFonts w:ascii="Verdana" w:hAnsi="Verdana" w:cs="Verdana"/>
                <w:b/>
                <w:b/>
                <w:sz w:val="20"/>
                <w:szCs w:val="20"/>
              </w:rPr>
            </w:pPr>
            <w:r>
              <w:rPr>
                <w:rFonts w:cs="Verdana" w:ascii="Verdana" w:hAnsi="Verdana"/>
                <w:b/>
                <w:sz w:val="20"/>
                <w:szCs w:val="20"/>
              </w:rPr>
            </w:r>
          </w:p>
        </w:tc>
      </w:tr>
    </w:tbl>
    <w:p>
      <w:pPr>
        <w:pStyle w:val="Normal"/>
        <w:spacing w:lineRule="auto" w:line="312"/>
        <w:rPr>
          <w:rFonts w:ascii="Verdana" w:hAnsi="Verdana" w:cs="Verdana"/>
          <w:b/>
          <w:b/>
          <w:sz w:val="20"/>
          <w:szCs w:val="20"/>
        </w:rPr>
      </w:pPr>
      <w:r>
        <w:rPr>
          <w:rFonts w:cs="Verdana" w:ascii="Verdana" w:hAnsi="Verdana"/>
          <w:b/>
          <w:sz w:val="20"/>
          <w:szCs w:val="20"/>
        </w:rPr>
      </w:r>
    </w:p>
    <w:sectPr>
      <w:headerReference w:type="default" r:id="rId2"/>
      <w:footerReference w:type="default" r:id="rId3"/>
      <w:type w:val="nextPage"/>
      <w:pgSz w:w="11906" w:h="16838"/>
      <w:pgMar w:left="1191" w:right="1191" w:header="454" w:top="2268" w:footer="284" w:bottom="1701"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Black">
    <w:charset w:val="00"/>
    <w:family w:val="swiss"/>
    <w:pitch w:val="variable"/>
  </w:font>
  <w:font w:name="Symbol">
    <w:charset w:val="01"/>
    <w:family w:val="roman"/>
    <w:pitch w:val="variable"/>
  </w:font>
  <w:font w:name="Courier New">
    <w:charset w:val="00"/>
    <w:family w:val="modern"/>
    <w:pitch w:val="default"/>
  </w:font>
  <w:font w:name="Wingdings">
    <w:charset w:val="02"/>
    <w:family w:val="auto"/>
    <w:pitch w:val="variable"/>
  </w:font>
  <w:font w:name="SimSun">
    <w:altName w:val="宋体"/>
    <w:charset w:val="86"/>
    <w:family w:val="auto"/>
    <w:pitch w:val="variable"/>
  </w:font>
  <w:font w:name="Verdana">
    <w:charset w:val="00"/>
    <w:family w:val="swiss"/>
    <w:pitch w:val="variable"/>
  </w:font>
  <w:font w:name="Bookman Old Style">
    <w:charset w:val="00"/>
    <w:family w:val="roman"/>
    <w:pitch w:val="variable"/>
  </w:font>
  <w:font w:name="Book Antiqua">
    <w:charset w:val="00"/>
    <w:family w:val="roman"/>
    <w:pitch w:val="variable"/>
  </w:font>
  <w:font w:name="Liberation Sans">
    <w:altName w:val="Arial"/>
    <w:charset w:val="01"/>
    <w:family w:val="swiss"/>
    <w:pitch w:val="variable"/>
  </w:font>
  <w:font w:name="Comic Sans MS">
    <w:charset w:val="00"/>
    <w:family w:val="script"/>
    <w:pitch w:val="variable"/>
  </w:font>
  <w:font w:name="Tahoma">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right="360" w:hanging="0"/>
      <w:rPr>
        <w:rFonts w:ascii="Verdana" w:hAnsi="Verdana" w:cs="Verdana"/>
        <w:b/>
        <w:b/>
        <w:i/>
        <w:i/>
        <w:sz w:val="16"/>
        <w:szCs w:val="16"/>
      </w:rPr>
    </w:pPr>
    <w:r>
      <w:rPr>
        <w:rFonts w:cs="Verdana" w:ascii="Verdana" w:hAnsi="Verdana"/>
        <w:b/>
        <w:i/>
        <w:sz w:val="16"/>
        <w:szCs w:val="16"/>
      </w:rPr>
      <w:t>TRANSAVOIE – NAO 2018</w:t>
    </w:r>
    <w:r>
      <mc:AlternateContent>
        <mc:Choice Requires="wps">
          <w:drawing>
            <wp:anchor behindDoc="0" distT="0" distB="0" distL="0" distR="0" simplePos="0" locked="0" layoutInCell="1" allowOverlap="1" relativeHeight="5">
              <wp:simplePos x="0" y="0"/>
              <wp:positionH relativeFrom="page">
                <wp:posOffset>6700520</wp:posOffset>
              </wp:positionH>
              <wp:positionV relativeFrom="paragraph">
                <wp:posOffset>14605</wp:posOffset>
              </wp:positionV>
              <wp:extent cx="65405" cy="118110"/>
              <wp:effectExtent l="0" t="0" r="0" b="0"/>
              <wp:wrapSquare wrapText="largest"/>
              <wp:docPr id="2" name="Frame1"/>
              <a:graphic xmlns:a="http://schemas.openxmlformats.org/drawingml/2006/main">
                <a:graphicData uri="http://schemas.microsoft.com/office/word/2010/wordprocessingShape">
                  <wps:wsp>
                    <wps:cNvSpPr txBox="1"/>
                    <wps:spPr>
                      <a:xfrm>
                        <a:off x="0" y="0"/>
                        <a:ext cx="65405" cy="118110"/>
                      </a:xfrm>
                      <a:prstGeom prst="rect"/>
                      <a:solidFill>
                        <a:srgbClr val="FFFFFF">
                          <a:alpha val="0"/>
                        </a:srgbClr>
                      </a:solidFill>
                    </wps:spPr>
                    <wps:txbx>
                      <w:txbxContent>
                        <w:p>
                          <w:pPr>
                            <w:pStyle w:val="Footer"/>
                            <w:rPr>
                              <w:rStyle w:val="PageNumber"/>
                              <w:rFonts w:ascii="Verdana" w:hAnsi="Verdana" w:cs="Verdana"/>
                              <w:sz w:val="16"/>
                              <w:szCs w:val="16"/>
                            </w:rPr>
                          </w:pPr>
                          <w:r>
                            <w:rPr>
                              <w:rStyle w:val="PageNumber"/>
                              <w:rFonts w:cs="Verdana" w:ascii="Verdana" w:hAnsi="Verdana"/>
                              <w:sz w:val="16"/>
                              <w:szCs w:val="16"/>
                            </w:rPr>
                            <w:fldChar w:fldCharType="begin"/>
                          </w:r>
                          <w:r>
                            <w:instrText> PAGE </w:instrText>
                          </w:r>
                          <w:r>
                            <w:fldChar w:fldCharType="separate"/>
                          </w:r>
                          <w:r>
                            <w:t>4</w:t>
                          </w:r>
                          <w:r>
                            <w:fldChar w:fldCharType="end"/>
                          </w:r>
                        </w:p>
                      </w:txbxContent>
                    </wps:txbx>
                    <wps:bodyPr anchor="t">
                      <a:noAutofit/>
                    </wps:bodyPr>
                  </wps:wsp>
                </a:graphicData>
              </a:graphic>
            </wp:anchor>
          </w:drawing>
        </mc:Choice>
        <mc:Fallback>
          <w:pict>
            <v:rect fillcolor="#FFFFFF" style="position:absolute;rotation:0;width:5.15pt;height:9.3pt;margin-top:1.15pt;mso-position-vertical-relative:text;margin-left:527.6pt;mso-position-horizontal-relative:page">
              <v:fill opacity="0f"/>
              <v:textbox>
                <w:txbxContent>
                  <w:p>
                    <w:pPr>
                      <w:pStyle w:val="Footer"/>
                      <w:rPr>
                        <w:rStyle w:val="PageNumber"/>
                        <w:rFonts w:ascii="Verdana" w:hAnsi="Verdana" w:cs="Verdana"/>
                        <w:sz w:val="16"/>
                        <w:szCs w:val="16"/>
                      </w:rPr>
                    </w:pPr>
                    <w:r>
                      <w:rPr>
                        <w:rStyle w:val="PageNumber"/>
                        <w:rFonts w:cs="Verdana" w:ascii="Verdana" w:hAnsi="Verdana"/>
                        <w:sz w:val="16"/>
                        <w:szCs w:val="16"/>
                      </w:rPr>
                      <w:fldChar w:fldCharType="begin"/>
                    </w:r>
                    <w:r>
                      <w:instrText> PAGE </w:instrText>
                    </w:r>
                    <w:r>
                      <w:fldChar w:fldCharType="separate"/>
                    </w:r>
                    <w:r>
                      <w:t>4</w:t>
                    </w:r>
                    <w:r>
                      <w:fldChar w:fldCharType="end"/>
                    </w:r>
                  </w:p>
                </w:txbxContent>
              </v:textbox>
              <w10:wrap type="square" side="largest"/>
            </v:rect>
          </w:pict>
        </mc:Fallback>
      </mc:AlternateContent>
    </w:r>
  </w:p>
  <w:p>
    <w:pPr>
      <w:pStyle w:val="Footer"/>
      <w:ind w:right="360" w:hanging="0"/>
      <w:rPr>
        <w:rFonts w:ascii="Verdana" w:hAnsi="Verdana" w:cs="Verdana"/>
        <w:b/>
        <w:b/>
        <w:i/>
        <w:i/>
        <w:sz w:val="16"/>
        <w:szCs w:val="16"/>
      </w:rPr>
    </w:pPr>
    <w:r>
      <w:rPr>
        <w:rFonts w:cs="Verdana" w:ascii="Verdana" w:hAnsi="Verdana"/>
        <w:b/>
        <w:i/>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rFonts w:ascii="Verdana" w:hAnsi="Verdana" w:cs="Verdana"/>
        <w:sz w:val="20"/>
        <w:szCs w:val="20"/>
        <w:lang w:val="en-GB" w:eastAsia="en-GB"/>
      </w:rPr>
    </w:pPr>
    <w:r>
      <w:rPr>
        <w:rFonts w:cs="Verdana" w:ascii="Verdana" w:hAnsi="Verdana"/>
        <w:sz w:val="20"/>
        <w:szCs w:val="20"/>
        <w:lang w:val="en-GB" w:eastAsia="en-GB"/>
      </w:rPr>
      <w:drawing>
        <wp:anchor behindDoc="1" distT="0" distB="0" distL="114935" distR="114935" simplePos="0" locked="0" layoutInCell="1" allowOverlap="1" relativeHeight="9">
          <wp:simplePos x="0" y="0"/>
          <wp:positionH relativeFrom="column">
            <wp:posOffset>-228600</wp:posOffset>
          </wp:positionH>
          <wp:positionV relativeFrom="paragraph">
            <wp:posOffset>-85725</wp:posOffset>
          </wp:positionV>
          <wp:extent cx="2116455" cy="802640"/>
          <wp:effectExtent l="0" t="0" r="0" b="0"/>
          <wp:wrapTight wrapText="bothSides">
            <wp:wrapPolygon edited="0">
              <wp:start x="-95" y="0"/>
              <wp:lineTo x="-95" y="21337"/>
              <wp:lineTo x="21600" y="21337"/>
              <wp:lineTo x="21600" y="0"/>
              <wp:lineTo x="-95" y="0"/>
            </wp:wrapPolygon>
          </wp:wrapTight>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1"/>
                  <a:stretch>
                    <a:fillRect/>
                  </a:stretch>
                </pic:blipFill>
                <pic:spPr bwMode="auto">
                  <a:xfrm>
                    <a:off x="0" y="0"/>
                    <a:ext cx="2116455" cy="80264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3"/>
      <w:numFmt w:val="bullet"/>
      <w:lvlText w:val="-"/>
      <w:lvlJc w:val="left"/>
      <w:pPr>
        <w:tabs>
          <w:tab w:val="num" w:pos="720"/>
        </w:tabs>
        <w:ind w:left="720" w:hanging="360"/>
      </w:pPr>
      <w:rPr>
        <w:rFonts w:ascii="Verdana" w:hAnsi="Verdana" w:cs="Verdana" w:hint="default"/>
        <w:sz w:val="20"/>
        <w:szCs w:val="20"/>
        <w:rFonts w:cs="Times New Roman"/>
      </w:rPr>
    </w:lvl>
  </w:abstractNum>
  <w:abstractNum w:abstractNumId="3">
    <w:lvl w:ilvl="0">
      <w:start w:val="1"/>
      <w:numFmt w:val="bullet"/>
      <w:lvlText w:val=""/>
      <w:lvlJc w:val="left"/>
      <w:pPr>
        <w:ind w:left="720" w:hanging="360"/>
      </w:pPr>
      <w:rPr>
        <w:rFonts w:ascii="Symbol" w:hAnsi="Symbol" w:cs="Symbol" w:hint="default"/>
        <w:sz w:val="20"/>
        <w:szCs w:val="20"/>
        <w:rFonts w:cs="Symbol"/>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numPr>
        <w:ilvl w:val="0"/>
        <w:numId w:val="1"/>
      </w:numPr>
      <w:jc w:val="right"/>
      <w:outlineLvl w:val="0"/>
      <w:outlineLvl w:val="0"/>
    </w:pPr>
    <w:rPr>
      <w:rFonts w:ascii="Arial Black" w:hAnsi="Arial Black" w:cs="Arial Black"/>
      <w:b/>
      <w:bCs/>
      <w:sz w:val="12"/>
      <w:szCs w:val="12"/>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imSun;宋体" w:hAnsi="SimSun;宋体" w:eastAsia="SimSun;宋体"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Verdana" w:hAnsi="Verdana"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rFonts w:ascii="Verdana" w:hAnsi="Verdana"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style>
  <w:style w:type="character" w:styleId="WW8Num10z0">
    <w:name w:val="WW8Num10z0"/>
    <w:qFormat/>
    <w:rPr>
      <w:rFonts w:ascii="Bookman Old Style" w:hAnsi="Bookman Old Style"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imSun;宋体" w:hAnsi="SimSun;宋体" w:eastAsia="SimSun;宋体"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Verdana" w:hAnsi="Verdana" w:eastAsia="Times New Roman" w:cs="Times New Roman"/>
      <w:sz w:val="20"/>
      <w:szCs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Book Antiqua" w:hAnsi="Book Antiqua"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sz w:val="20"/>
      <w:szCs w:val="20"/>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imSun;宋体" w:hAnsi="SimSun;宋体" w:eastAsia="SimSun;宋体"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tyle>
  <w:style w:type="character" w:styleId="WW8Num20z0">
    <w:name w:val="WW8Num20z0"/>
    <w:qFormat/>
    <w:rPr>
      <w:rFonts w:ascii="Wingdings" w:hAnsi="Wingdings" w:eastAsia="Times New Roman" w:cs="Times New Roman"/>
      <w:b/>
      <w:sz w:val="22"/>
      <w:szCs w:val="22"/>
      <w:u w:val="none"/>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u w:val="none"/>
    </w:rPr>
  </w:style>
  <w:style w:type="character" w:styleId="WW8Num23z0">
    <w:name w:val="WW8Num23z0"/>
    <w:qFormat/>
    <w:rPr>
      <w:rFonts w:ascii="Verdana" w:hAnsi="Verdana"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InternetLink">
    <w:name w:val="Internet Link"/>
    <w:rPr>
      <w:color w:val="0000FF"/>
      <w:u w:val="single"/>
    </w:rPr>
  </w:style>
  <w:style w:type="character" w:styleId="Corpsdetexte3Car">
    <w:name w:val="Corps de texte 3 Car"/>
    <w:qFormat/>
    <w:rPr>
      <w:sz w:val="16"/>
      <w:szCs w:val="16"/>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jc w:val="both"/>
    </w:pPr>
    <w:rPr>
      <w:rFonts w:ascii="Comic Sans MS" w:hAnsi="Comic Sans MS" w:cs="Comic Sans MS"/>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Explorateurdedocuments">
    <w:name w:val="Explorateur de documents"/>
    <w:basedOn w:val="Normal"/>
    <w:qFormat/>
    <w:pPr>
      <w:shd w:fill="000080" w:val="clear"/>
    </w:pPr>
    <w:rPr>
      <w:rFonts w:ascii="Tahoma" w:hAnsi="Tahoma" w:cs="Tahoma"/>
      <w:sz w:val="20"/>
      <w:szCs w:val="20"/>
    </w:rPr>
  </w:style>
  <w:style w:type="paragraph" w:styleId="Corpsdetexte3">
    <w:name w:val="Corps de texte 3"/>
    <w:basedOn w:val="Normal"/>
    <w:qFormat/>
    <w:pPr>
      <w:spacing w:before="0" w:after="120"/>
    </w:pPr>
    <w:rPr>
      <w:sz w:val="16"/>
      <w:szCs w:val="16"/>
    </w:rPr>
  </w:style>
  <w:style w:type="paragraph" w:styleId="Paragraphedeliste">
    <w:name w:val="Paragraphe de liste"/>
    <w:basedOn w:val="Normal"/>
    <w:qFormat/>
    <w:pPr>
      <w:spacing w:lineRule="auto" w:line="276" w:before="0" w:after="0"/>
      <w:ind w:left="720" w:hanging="0"/>
      <w:contextualSpacing/>
    </w:pPr>
    <w:rPr>
      <w:rFonts w:ascii="Calibri" w:hAnsi="Calibri" w:eastAsia="Calibri" w:cs="Times New Roman"/>
      <w:sz w:val="22"/>
      <w:szCs w:val="2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2019-03-12T17:56:00Z</dcterms:created>
  <dc:language>en-GB</dc:language>
  <cp:lastPrinted>2016-12-14T11:24:00Z</cp:lastPrinted>
  <dcterms:modified xsi:type="dcterms:W3CDTF">2019-03-12T17:58:00Z</dcterms:modified>
  <cp:revision>3</cp:revision>
  <dc:title>Entre les soussignés :</dc:title>
</cp:coreProperties>
</file>