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msc-iii-hybrid-evergreen-conversion"/>
    <w:p>
      <w:pPr>
        <w:pStyle w:val="Heading1"/>
      </w:pPr>
      <w:r>
        <w:t xml:space="preserve">MSC III Hybrid Evergreen Conversion</w:t>
      </w:r>
    </w:p>
    <w:bookmarkStart w:id="9" w:name="claude-work"/>
    <w:p>
      <w:pPr>
        <w:pStyle w:val="Heading2"/>
      </w:pPr>
      <w:r>
        <w:t xml:space="preserve">Claude Work</w:t>
      </w:r>
    </w:p>
    <w:bookmarkEnd w:id="9"/>
    <w:bookmarkStart w:id="11" w:name="internal-memorandum"/>
    <w:p>
      <w:pPr>
        <w:pStyle w:val="Heading2"/>
      </w:pPr>
      <w:r>
        <w:t xml:space="preserve">Internal Memorandum</w:t>
      </w:r>
    </w:p>
    <w:bookmarkStart w:id="10" w:name="december-2025"/>
    <w:p>
      <w:pPr>
        <w:pStyle w:val="Heading3"/>
      </w:pPr>
      <w:r>
        <w:t xml:space="preserve">December 2025</w:t>
      </w:r>
    </w:p>
    <w:p>
      <w:r>
        <w:pict>
          <v:rect style="width:0;height:1.5pt" o:hralign="center" o:hrstd="t" o:hr="t"/>
        </w:pict>
      </w:r>
    </w:p>
    <w:bookmarkEnd w:id="10"/>
    <w:bookmarkEnd w:id="11"/>
    <w:bookmarkEnd w:id="12"/>
    <w:bookmarkStart w:id="18" w:name="part-i-commercial-term-sheet"/>
    <w:p>
      <w:pPr>
        <w:pStyle w:val="Heading1"/>
      </w:pPr>
      <w:r>
        <w:t xml:space="preserve">PART I: COMMERCIAL TERM SHEET</w:t>
      </w:r>
    </w:p>
    <w:bookmarkStart w:id="13" w:name="executive-summary"/>
    <w:p>
      <w:pPr>
        <w:pStyle w:val="Heading2"/>
      </w:pPr>
      <w:r>
        <w:t xml:space="preserve">Executive Summary</w:t>
      </w:r>
    </w:p>
    <w:p>
      <w:pPr>
        <w:pStyle w:val="FirstParagraph"/>
      </w:pPr>
      <w:r>
        <w:t xml:space="preserve">We propose converting MSC III from a traditional drawdown structure to a hybrid evergreen format. This conversion responds to clear market feedback: LPs increasingly prefer evergreen structures for private credit strategies, with anecdotal data suggesting 9 out of 10 dollars of new capital is flowing to evergreen versus drawdown offerings.</w:t>
      </w:r>
    </w:p>
    <w:p>
      <w:pPr>
        <w:pStyle w:val="BodyText"/>
      </w:pPr>
      <w:r>
        <w:t xml:space="preserve">The proposed structure preserves the core investment strategy and economics of MSC III while providing LPs with a more efficient capital deployment model and periodic liquidity options aligned with our asset duration.</w:t>
      </w:r>
    </w:p>
    <w:p>
      <w:pPr>
        <w:pStyle w:val="BodyText"/>
      </w:pPr>
      <w:r>
        <w:rPr>
          <w:b/>
          <w:bCs/>
        </w:rPr>
        <w:t xml:space="preserve">Key benefits for LP’s:</w:t>
      </w:r>
      <w:r>
        <w:t xml:space="preserve"> </w:t>
      </w:r>
      <w:r>
        <w:t xml:space="preserve">- Single underwriting eliminates re-up friction across fund cycles</w:t>
      </w:r>
      <w:r>
        <w:t xml:space="preserve"> </w:t>
      </w:r>
      <w:r>
        <w:t xml:space="preserve">- Immediate capital deployment mitigates J-curve drag</w:t>
      </w:r>
      <w:r>
        <w:t xml:space="preserve"> </w:t>
      </w:r>
      <w:r>
        <w:t xml:space="preserve">- 3-year lock-up aligns with portfolio duration (~3-year average loan life)</w:t>
      </w:r>
      <w:r>
        <w:t xml:space="preserve"> </w:t>
      </w:r>
      <w:r>
        <w:t xml:space="preserve">- Distribution option addresses interval fund and wealth channel requirements</w:t>
      </w:r>
      <w:r>
        <w:t xml:space="preserve"> </w:t>
      </w:r>
      <w:r>
        <w:t xml:space="preserve">- Existing MSC III investors roll in seamlessly with no change to their economic terms</w:t>
      </w:r>
    </w:p>
    <w:p>
      <w:pPr>
        <w:pStyle w:val="BodyText"/>
      </w:pPr>
      <w:r>
        <w:t xml:space="preserve">Key Benefits for MSC:</w:t>
      </w:r>
      <w:r>
        <w:t xml:space="preserve"> </w:t>
      </w:r>
      <w:r>
        <w:t xml:space="preserve">- Capital maintaining ramp up over the life should increase ultimate fees and carry vs. ramping up each new fund vintage</w:t>
      </w:r>
      <w:r>
        <w:t xml:space="preserve"> </w:t>
      </w:r>
      <w:r>
        <w:t xml:space="preserve">- Expectation of material opening of the allocator funnel</w:t>
      </w:r>
      <w:r>
        <w:t xml:space="preserve"> </w:t>
      </w:r>
      <w:r>
        <w:t xml:space="preserve">- Some efficiencies of scale and reduction of organizational legal and operational work</w:t>
      </w:r>
      <w:r>
        <w:t xml:space="preserve"> </w:t>
      </w:r>
      <w:r>
        <w:rPr>
          <w:b/>
          <w:bCs/>
        </w:rPr>
        <w:t xml:space="preserve">there are some clear increases as well</w:t>
      </w:r>
      <w:r>
        <w:t xml:space="preserve"> </w:t>
      </w:r>
      <w:r>
        <w:t xml:space="preserve">—–</w:t>
      </w:r>
    </w:p>
    <w:bookmarkEnd w:id="13"/>
    <w:bookmarkStart w:id="14" w:name="proposed-terms"/>
    <w:p>
      <w:pPr>
        <w:pStyle w:val="Heading2"/>
      </w:pPr>
      <w:r>
        <w:t xml:space="preserve">Proposed Terms</w:t>
      </w:r>
    </w:p>
    <w:tbl>
      <w:tblPr>
        <w:tblStyle w:val="Table"/>
        <w:tblW w:type="pct" w:w="5000"/>
        <w:tblLayout w:type="fixed"/>
        <w:tblLook w:firstRow="1" w:lastRow="0" w:firstColumn="0" w:lastColumn="0" w:noHBand="0" w:noVBand="0" w:val="0020"/>
      </w:tblPr>
      <w:tblGrid>
        <w:gridCol w:w="1109"/>
        <w:gridCol w:w="6810"/>
      </w:tblGrid>
      <w:tr>
        <w:trPr>
          <w:tblHeader w:val="on"/>
        </w:trPr>
        <w:tc>
          <w:tcPr/>
          <w:p>
            <w:pPr>
              <w:pStyle w:val="Compact"/>
            </w:pPr>
            <w:r>
              <w:t xml:space="preserve">Term</w:t>
            </w:r>
          </w:p>
        </w:tc>
        <w:tc>
          <w:tcPr/>
          <w:p>
            <w:pPr>
              <w:pStyle w:val="Compact"/>
            </w:pPr>
            <w:r>
              <w:t xml:space="preserve">Proposed</w:t>
            </w:r>
          </w:p>
        </w:tc>
      </w:tr>
      <w:tr>
        <w:tc>
          <w:tcPr/>
          <w:p>
            <w:pPr>
              <w:pStyle w:val="Compact"/>
            </w:pPr>
            <w:r>
              <w:rPr>
                <w:b/>
                <w:bCs/>
              </w:rPr>
              <w:t xml:space="preserve">Structure</w:t>
            </w:r>
          </w:p>
        </w:tc>
        <w:tc>
          <w:tcPr/>
          <w:p>
            <w:pPr>
              <w:pStyle w:val="Compact"/>
            </w:pPr>
            <w:r>
              <w:t xml:space="preserve">Hybrid evergreen; single commingled pool</w:t>
            </w:r>
          </w:p>
        </w:tc>
      </w:tr>
      <w:tr>
        <w:tc>
          <w:tcPr/>
          <w:p>
            <w:pPr>
              <w:pStyle w:val="Compact"/>
            </w:pPr>
            <w:r>
              <w:rPr>
                <w:b/>
                <w:bCs/>
              </w:rPr>
              <w:t xml:space="preserve">Investment Strategy</w:t>
            </w:r>
          </w:p>
        </w:tc>
        <w:tc>
          <w:tcPr/>
          <w:p>
            <w:pPr>
              <w:pStyle w:val="Compact"/>
            </w:pPr>
            <w:r>
              <w:t xml:space="preserve">Unchanged from MSC III</w:t>
            </w:r>
          </w:p>
        </w:tc>
      </w:tr>
      <w:tr>
        <w:tc>
          <w:tcPr/>
          <w:p>
            <w:pPr>
              <w:pStyle w:val="Compact"/>
            </w:pPr>
            <w:r>
              <w:rPr>
                <w:b/>
                <w:bCs/>
              </w:rPr>
              <w:t xml:space="preserve">Seed Assets</w:t>
            </w:r>
          </w:p>
        </w:tc>
        <w:tc>
          <w:tcPr/>
          <w:p>
            <w:pPr>
              <w:pStyle w:val="Compact"/>
            </w:pPr>
            <w:r>
              <w:t xml:space="preserve">Existing MSC III portfolio</w:t>
            </w:r>
          </w:p>
        </w:tc>
      </w:tr>
      <w:tr>
        <w:tc>
          <w:tcPr/>
          <w:p>
            <w:pPr>
              <w:pStyle w:val="Compact"/>
            </w:pPr>
            <w:r>
              <w:rPr>
                <w:b/>
                <w:bCs/>
              </w:rPr>
              <w:t xml:space="preserve">Seed Capital</w:t>
            </w:r>
          </w:p>
        </w:tc>
        <w:tc>
          <w:tcPr/>
          <w:p>
            <w:pPr>
              <w:pStyle w:val="Compact"/>
            </w:pPr>
            <w:r>
              <w:t xml:space="preserve">Existing MSC III LPs convert, New LP’s</w:t>
            </w:r>
          </w:p>
        </w:tc>
      </w:tr>
      <w:tr>
        <w:tc>
          <w:tcPr/>
          <w:p>
            <w:pPr>
              <w:pStyle w:val="Compact"/>
            </w:pPr>
            <w:r>
              <w:rPr>
                <w:b/>
                <w:bCs/>
              </w:rPr>
              <w:t xml:space="preserve">First Vintage Subscription Close</w:t>
            </w:r>
          </w:p>
        </w:tc>
        <w:tc>
          <w:tcPr/>
          <w:p>
            <w:pPr>
              <w:pStyle w:val="Compact"/>
            </w:pPr>
            <w:r>
              <w:t xml:space="preserve">Q2 2026 expected</w:t>
            </w:r>
          </w:p>
        </w:tc>
      </w:tr>
      <w:tr>
        <w:tc>
          <w:tcPr/>
          <w:p>
            <w:pPr>
              <w:pStyle w:val="Compact"/>
            </w:pPr>
            <w:r>
              <w:rPr>
                <w:b/>
                <w:bCs/>
              </w:rPr>
              <w:t xml:space="preserve">First Vintage Subscription Outside Date</w:t>
            </w:r>
          </w:p>
        </w:tc>
        <w:tc>
          <w:tcPr/>
          <w:p>
            <w:pPr>
              <w:pStyle w:val="Compact"/>
            </w:pPr>
            <w:r>
              <w:t xml:space="preserve">September 30 or December 30 2026</w:t>
            </w:r>
          </w:p>
        </w:tc>
      </w:tr>
      <w:tr>
        <w:tc>
          <w:tcPr/>
          <w:p>
            <w:pPr>
              <w:pStyle w:val="Compact"/>
            </w:pPr>
            <w:r>
              <w:rPr>
                <w:b/>
                <w:bCs/>
              </w:rPr>
              <w:t xml:space="preserve">Annual Vintage Subscription Outside Date</w:t>
            </w:r>
          </w:p>
        </w:tc>
        <w:tc>
          <w:tcPr/>
          <w:p>
            <w:pPr>
              <w:pStyle w:val="Compact"/>
            </w:pPr>
            <w:r>
              <w:t xml:space="preserve">December 30 Annualy</w:t>
            </w:r>
          </w:p>
        </w:tc>
      </w:tr>
      <w:tr>
        <w:tc>
          <w:tcPr/>
          <w:p>
            <w:pPr>
              <w:pStyle w:val="Compact"/>
            </w:pPr>
            <w:r>
              <w:rPr>
                <w:b/>
                <w:bCs/>
              </w:rPr>
              <w:t xml:space="preserve">Subscription Frequency</w:t>
            </w:r>
          </w:p>
        </w:tc>
        <w:tc>
          <w:tcPr/>
          <w:p>
            <w:pPr>
              <w:pStyle w:val="Compact"/>
            </w:pPr>
            <w:r>
              <w:t xml:space="preserve">Semi-annual; may move to quarterly in the future</w:t>
            </w:r>
          </w:p>
        </w:tc>
      </w:tr>
      <w:tr>
        <w:tc>
          <w:tcPr/>
          <w:p>
            <w:pPr>
              <w:pStyle w:val="Compact"/>
            </w:pPr>
            <w:r>
              <w:rPr>
                <w:b/>
                <w:bCs/>
              </w:rPr>
              <w:t xml:space="preserve">First Annual Vintage Subscription</w:t>
            </w:r>
          </w:p>
        </w:tc>
        <w:tc>
          <w:tcPr/>
          <w:p>
            <w:pPr>
              <w:pStyle w:val="Compact"/>
            </w:pPr>
            <w:r>
              <w:t xml:space="preserve">Calendar Year 2026</w:t>
            </w:r>
          </w:p>
        </w:tc>
      </w:tr>
      <w:tr>
        <w:tc>
          <w:tcPr/>
          <w:p>
            <w:pPr>
              <w:pStyle w:val="Compact"/>
            </w:pPr>
            <w:r>
              <w:t xml:space="preserve">Subsequent Annual Vintage Subscriptions</w:t>
            </w:r>
          </w:p>
        </w:tc>
        <w:tc>
          <w:tcPr/>
          <w:p>
            <w:pPr>
              <w:pStyle w:val="Compact"/>
            </w:pPr>
            <w:r>
              <w:t xml:space="preserve">Each calendar year starting with 2027</w:t>
            </w:r>
          </w:p>
        </w:tc>
      </w:tr>
      <w:tr>
        <w:tc>
          <w:tcPr/>
          <w:p>
            <w:pPr>
              <w:pStyle w:val="Compact"/>
            </w:pPr>
            <w:r>
              <w:t xml:space="preserve">Vintage Frequency</w:t>
            </w:r>
          </w:p>
        </w:tc>
        <w:tc>
          <w:tcPr/>
          <w:p>
            <w:pPr>
              <w:pStyle w:val="Compact"/>
            </w:pPr>
            <w:r>
              <w:t xml:space="preserve">Annually, starting 2026</w:t>
            </w:r>
          </w:p>
        </w:tc>
      </w:tr>
      <w:tr>
        <w:tc>
          <w:tcPr/>
          <w:p>
            <w:pPr>
              <w:pStyle w:val="Compact"/>
            </w:pPr>
            <w:r>
              <w:rPr>
                <w:b/>
                <w:bCs/>
              </w:rPr>
              <w:t xml:space="preserve">Subscription Format</w:t>
            </w:r>
          </w:p>
        </w:tc>
        <w:tc>
          <w:tcPr/>
          <w:p>
            <w:pPr>
              <w:pStyle w:val="Compact"/>
            </w:pPr>
            <w:r>
              <w:t xml:space="preserve">Fully funded at NAV;</w:t>
            </w:r>
            <w:r>
              <w:t xml:space="preserve"> </w:t>
            </w:r>
            <w:r>
              <w:rPr>
                <w:i/>
                <w:iCs/>
              </w:rPr>
              <w:t xml:space="preserve">Evaluate the ability to drawdown the First Vintage over six months as fund builds to more efficiency</w:t>
            </w:r>
          </w:p>
        </w:tc>
      </w:tr>
      <w:tr>
        <w:tc>
          <w:tcPr/>
          <w:p>
            <w:pPr>
              <w:pStyle w:val="Compact"/>
            </w:pPr>
            <w:r>
              <w:rPr>
                <w:b/>
                <w:bCs/>
              </w:rPr>
              <w:t xml:space="preserve">New LP Entry Pricing</w:t>
            </w:r>
          </w:p>
        </w:tc>
        <w:tc>
          <w:tcPr/>
          <w:p>
            <w:pPr>
              <w:pStyle w:val="Compact"/>
            </w:pPr>
            <w:r>
              <w:t xml:space="preserve">Most recent quarterly NAV;</w:t>
            </w:r>
            <w:r>
              <w:t xml:space="preserve"> </w:t>
            </w:r>
            <w:r>
              <w:rPr>
                <w:i/>
                <w:iCs/>
              </w:rPr>
              <w:t xml:space="preserve">we will need to understand on how delay in NAV reporting impacts timing of subscriptions</w:t>
            </w:r>
          </w:p>
        </w:tc>
      </w:tr>
      <w:tr>
        <w:tc>
          <w:tcPr/>
          <w:p>
            <w:pPr>
              <w:pStyle w:val="Compact"/>
            </w:pPr>
            <w:r>
              <w:rPr>
                <w:b/>
                <w:bCs/>
              </w:rPr>
              <w:t xml:space="preserve">Lock-Up Period</w:t>
            </w:r>
          </w:p>
        </w:tc>
        <w:tc>
          <w:tcPr/>
          <w:p>
            <w:pPr>
              <w:pStyle w:val="Compact"/>
            </w:pPr>
            <w:r>
              <w:t xml:space="preserve">3 years from the Annual Vintage Subscription Outside Date</w:t>
            </w:r>
          </w:p>
        </w:tc>
      </w:tr>
      <w:tr>
        <w:tc>
          <w:tcPr/>
          <w:p>
            <w:pPr>
              <w:pStyle w:val="Compact"/>
            </w:pPr>
            <w:r>
              <w:rPr>
                <w:b/>
                <w:bCs/>
              </w:rPr>
              <w:t xml:space="preserve">Lock-Up Reset</w:t>
            </w:r>
          </w:p>
        </w:tc>
        <w:tc>
          <w:tcPr/>
          <w:p>
            <w:pPr>
              <w:pStyle w:val="Compact"/>
            </w:pPr>
            <w:r>
              <w:t xml:space="preserve">Resets upon re-subscription</w:t>
            </w:r>
          </w:p>
        </w:tc>
      </w:tr>
      <w:tr>
        <w:tc>
          <w:tcPr/>
          <w:p>
            <w:pPr>
              <w:pStyle w:val="Compact"/>
            </w:pPr>
            <w:r>
              <w:rPr>
                <w:b/>
                <w:bCs/>
              </w:rPr>
              <w:t xml:space="preserve">Subscription Exit Election Notice</w:t>
            </w:r>
          </w:p>
        </w:tc>
        <w:tc>
          <w:tcPr/>
          <w:p>
            <w:pPr>
              <w:pStyle w:val="Compact"/>
            </w:pPr>
            <w:r>
              <w:t xml:space="preserve">180 days prior to lock-up expiration;</w:t>
            </w:r>
            <w:r>
              <w:t xml:space="preserve"> </w:t>
            </w:r>
            <w:r>
              <w:rPr>
                <w:i/>
                <w:iCs/>
              </w:rPr>
              <w:t xml:space="preserve">will investigate whether we can or should make it a negative consent</w:t>
            </w:r>
          </w:p>
        </w:tc>
      </w:tr>
      <w:tr>
        <w:tc>
          <w:tcPr/>
          <w:p>
            <w:pPr>
              <w:pStyle w:val="Compact"/>
            </w:pPr>
            <w:r>
              <w:rPr>
                <w:b/>
                <w:bCs/>
              </w:rPr>
              <w:t xml:space="preserve">At Lock-Up Expiration</w:t>
            </w:r>
          </w:p>
        </w:tc>
        <w:tc>
          <w:tcPr/>
          <w:p>
            <w:pPr>
              <w:pStyle w:val="Compact"/>
            </w:pPr>
            <w:r>
              <w:t xml:space="preserve">Binary: re-subscribe (new 3-year lock) or slow-pay run-off as per the Subscription Exit Election Notice</w:t>
            </w:r>
          </w:p>
        </w:tc>
      </w:tr>
      <w:tr>
        <w:tc>
          <w:tcPr/>
          <w:p>
            <w:pPr>
              <w:pStyle w:val="Compact"/>
            </w:pPr>
            <w:r>
              <w:rPr>
                <w:b/>
                <w:bCs/>
              </w:rPr>
              <w:t xml:space="preserve">Run-Off Mechanics</w:t>
            </w:r>
          </w:p>
        </w:tc>
        <w:tc>
          <w:tcPr/>
          <w:p>
            <w:pPr>
              <w:pStyle w:val="Compact"/>
            </w:pPr>
            <w:r>
              <w:t xml:space="preserve">Pro-rata share of existing portfolio at time of realization; distributions as assets mature at least quarterly; no forced liquidation</w:t>
            </w:r>
          </w:p>
        </w:tc>
      </w:tr>
      <w:tr>
        <w:tc>
          <w:tcPr/>
          <w:p>
            <w:pPr>
              <w:pStyle w:val="Compact"/>
            </w:pPr>
            <w:r>
              <w:rPr>
                <w:b/>
                <w:bCs/>
              </w:rPr>
              <w:t xml:space="preserve">Run-Off Carry Treatment</w:t>
            </w:r>
          </w:p>
        </w:tc>
        <w:tc>
          <w:tcPr/>
          <w:p>
            <w:pPr>
              <w:pStyle w:val="Compact"/>
            </w:pPr>
            <w:r>
              <w:t xml:space="preserve">LP remains in carry waterfall through full realization</w:t>
            </w:r>
          </w:p>
        </w:tc>
      </w:tr>
      <w:tr>
        <w:tc>
          <w:tcPr/>
          <w:p>
            <w:pPr>
              <w:pStyle w:val="Compact"/>
            </w:pPr>
            <w:r>
              <w:rPr>
                <w:b/>
                <w:bCs/>
              </w:rPr>
              <w:t xml:space="preserve">Run-Off Management Fee</w:t>
            </w:r>
          </w:p>
        </w:tc>
        <w:tc>
          <w:tcPr/>
          <w:p>
            <w:pPr>
              <w:pStyle w:val="Compact"/>
            </w:pPr>
            <w:r>
              <w:t xml:space="preserve">1.5% for up to 3 or 4 years post-election; zero thereafter;</w:t>
            </w:r>
            <w:r>
              <w:t xml:space="preserve"> </w:t>
            </w:r>
            <w:r>
              <w:rPr>
                <w:i/>
                <w:iCs/>
              </w:rPr>
              <w:t xml:space="preserve">need to better understand the market here</w:t>
            </w:r>
          </w:p>
        </w:tc>
      </w:tr>
      <w:tr>
        <w:tc>
          <w:tcPr/>
          <w:p>
            <w:pPr>
              <w:pStyle w:val="Compact"/>
            </w:pPr>
            <w:r>
              <w:rPr>
                <w:b/>
                <w:bCs/>
              </w:rPr>
              <w:t xml:space="preserve">Management Fee Rate</w:t>
            </w:r>
          </w:p>
        </w:tc>
        <w:tc>
          <w:tcPr/>
          <w:p>
            <w:pPr>
              <w:pStyle w:val="Compact"/>
            </w:pPr>
            <w:r>
              <w:t xml:space="preserve">1.5% annually</w:t>
            </w:r>
          </w:p>
        </w:tc>
      </w:tr>
      <w:tr>
        <w:tc>
          <w:tcPr/>
          <w:p>
            <w:pPr>
              <w:pStyle w:val="Compact"/>
            </w:pPr>
            <w:r>
              <w:rPr>
                <w:b/>
                <w:bCs/>
              </w:rPr>
              <w:t xml:space="preserve">Management Fee Basis</w:t>
            </w:r>
          </w:p>
        </w:tc>
        <w:tc>
          <w:tcPr/>
          <w:p>
            <w:pPr>
              <w:pStyle w:val="Compact"/>
            </w:pPr>
            <w:r>
              <w:t xml:space="preserve">TBD (subscription amount or NAV);</w:t>
            </w:r>
            <w:r>
              <w:t xml:space="preserve"> </w:t>
            </w:r>
            <w:r>
              <w:rPr>
                <w:i/>
                <w:iCs/>
              </w:rPr>
              <w:t xml:space="preserve">we need to better understand the market here and what happens during run-off</w:t>
            </w:r>
          </w:p>
        </w:tc>
      </w:tr>
      <w:tr>
        <w:tc>
          <w:tcPr/>
          <w:p>
            <w:pPr>
              <w:pStyle w:val="Compact"/>
            </w:pPr>
            <w:r>
              <w:rPr>
                <w:b/>
                <w:bCs/>
              </w:rPr>
              <w:t xml:space="preserve">Performance Fee</w:t>
            </w:r>
          </w:p>
        </w:tc>
        <w:tc>
          <w:tcPr/>
          <w:p>
            <w:pPr>
              <w:pStyle w:val="Compact"/>
            </w:pPr>
            <w:r>
              <w:t xml:space="preserve">20% over 7% preferred return (same as MSC III)</w:t>
            </w:r>
          </w:p>
        </w:tc>
      </w:tr>
      <w:tr>
        <w:tc>
          <w:tcPr/>
          <w:p>
            <w:pPr>
              <w:pStyle w:val="Compact"/>
            </w:pPr>
            <w:r>
              <w:rPr>
                <w:b/>
                <w:bCs/>
              </w:rPr>
              <w:t xml:space="preserve">GP Catch-Up</w:t>
            </w:r>
          </w:p>
        </w:tc>
        <w:tc>
          <w:tcPr/>
          <w:p>
            <w:pPr>
              <w:pStyle w:val="Compact"/>
            </w:pPr>
            <w:r>
              <w:t xml:space="preserve">100%</w:t>
            </w:r>
          </w:p>
        </w:tc>
      </w:tr>
      <w:tr>
        <w:tc>
          <w:tcPr/>
          <w:p>
            <w:pPr>
              <w:pStyle w:val="Compact"/>
            </w:pPr>
            <w:r>
              <w:rPr>
                <w:b/>
                <w:bCs/>
              </w:rPr>
              <w:t xml:space="preserve">Founders Share Class</w:t>
            </w:r>
          </w:p>
        </w:tc>
        <w:tc>
          <w:tcPr/>
          <w:p>
            <w:pPr>
              <w:pStyle w:val="Compact"/>
            </w:pPr>
            <w:r>
              <w:t xml:space="preserve">TBD on details and term, but something inline with what was offered to GCM</w:t>
            </w:r>
          </w:p>
        </w:tc>
      </w:tr>
      <w:tr>
        <w:tc>
          <w:tcPr/>
          <w:p>
            <w:pPr>
              <w:pStyle w:val="Compact"/>
            </w:pPr>
            <w:r>
              <w:rPr>
                <w:b/>
                <w:bCs/>
              </w:rPr>
              <w:t xml:space="preserve">Carry Crystallization</w:t>
            </w:r>
          </w:p>
        </w:tc>
        <w:tc>
          <w:tcPr/>
          <w:p>
            <w:pPr>
              <w:pStyle w:val="Compact"/>
            </w:pPr>
            <w:r>
              <w:t xml:space="preserve">Post Lock-Up track vintage investment performance and pay carry based on realized performance. Net cashflows are reinvested based on the new lock-up reset vintage</w:t>
            </w:r>
          </w:p>
        </w:tc>
      </w:tr>
      <w:tr>
        <w:tc>
          <w:tcPr/>
          <w:p>
            <w:pPr>
              <w:pStyle w:val="Compact"/>
            </w:pPr>
            <w:r>
              <w:rPr>
                <w:b/>
                <w:bCs/>
              </w:rPr>
              <w:t xml:space="preserve">Clawback</w:t>
            </w:r>
          </w:p>
        </w:tc>
        <w:tc>
          <w:tcPr/>
          <w:p>
            <w:pPr>
              <w:pStyle w:val="Compact"/>
            </w:pPr>
            <w:r>
              <w:t xml:space="preserve">Per MSC III LPA</w:t>
            </w:r>
          </w:p>
        </w:tc>
      </w:tr>
      <w:tr>
        <w:tc>
          <w:tcPr/>
          <w:p>
            <w:pPr>
              <w:pStyle w:val="Compact"/>
            </w:pPr>
            <w:r>
              <w:rPr>
                <w:b/>
                <w:bCs/>
              </w:rPr>
              <w:t xml:space="preserve">Distribution Option</w:t>
            </w:r>
          </w:p>
        </w:tc>
        <w:tc>
          <w:tcPr/>
          <w:p>
            <w:pPr>
              <w:pStyle w:val="Compact"/>
            </w:pPr>
            <w:r>
              <w:t xml:space="preserve">Elective 5-7% annual distribution (same economics; LP choice); subject to availability;</w:t>
            </w:r>
            <w:r>
              <w:t xml:space="preserve"> </w:t>
            </w:r>
            <w:r>
              <w:rPr>
                <w:i/>
                <w:iCs/>
              </w:rPr>
              <w:t xml:space="preserve">we will need to better understand market language here, but we will not be paying distributions that reduce the NAV from principal. This likely still all needs to be at GP’s option</w:t>
            </w:r>
          </w:p>
        </w:tc>
      </w:tr>
      <w:tr>
        <w:tc>
          <w:tcPr/>
          <w:p>
            <w:pPr>
              <w:pStyle w:val="Compact"/>
            </w:pPr>
            <w:r>
              <w:rPr>
                <w:b/>
                <w:bCs/>
              </w:rPr>
              <w:t xml:space="preserve">Governance</w:t>
            </w:r>
          </w:p>
        </w:tc>
        <w:tc>
          <w:tcPr/>
          <w:p>
            <w:pPr>
              <w:pStyle w:val="Compact"/>
            </w:pPr>
            <w:r>
              <w:t xml:space="preserve">Per MSC III</w:t>
            </w:r>
          </w:p>
        </w:tc>
      </w:tr>
      <w:tr>
        <w:tc>
          <w:tcPr/>
          <w:p>
            <w:pPr>
              <w:pStyle w:val="Compact"/>
            </w:pPr>
            <w:r>
              <w:t xml:space="preserve">Fund Liquidity Line</w:t>
            </w:r>
          </w:p>
        </w:tc>
        <w:tc>
          <w:tcPr/>
          <w:p>
            <w:pPr>
              <w:pStyle w:val="Compact"/>
            </w:pPr>
            <w:r>
              <w:t xml:space="preserve">Will look to put on a liquidity line for the fund inline with market standards</w:t>
            </w:r>
          </w:p>
        </w:tc>
      </w:tr>
    </w:tbl>
    <w:p>
      <w:r>
        <w:pict>
          <v:rect style="width:0;height:1.5pt" o:hralign="center" o:hrstd="t" o:hr="t"/>
        </w:pict>
      </w:r>
    </w:p>
    <w:bookmarkEnd w:id="14"/>
    <w:bookmarkStart w:id="15" w:name="open-items"/>
    <w:p>
      <w:pPr>
        <w:pStyle w:val="Heading2"/>
      </w:pPr>
      <w:r>
        <w:t xml:space="preserve">Open Items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Item</w:t>
            </w:r>
          </w:p>
        </w:tc>
      </w:tr>
      <w:tr>
        <w:tc>
          <w:tcPr/>
          <w:p>
            <w:pPr>
              <w:pStyle w:val="Compact"/>
            </w:pPr>
            <w:r>
              <w:t xml:space="preserve">Management fee basis (subscription amount vs. NAV)</w:t>
            </w:r>
          </w:p>
        </w:tc>
      </w:tr>
      <w:tr>
        <w:tc>
          <w:tcPr/>
          <w:p>
            <w:pPr>
              <w:pStyle w:val="Compact"/>
            </w:pPr>
            <w:r>
              <w:t xml:space="preserve">Management fee basis post run-off</w:t>
            </w:r>
          </w:p>
        </w:tc>
      </w:tr>
      <w:tr>
        <w:tc>
          <w:tcPr/>
          <w:p>
            <w:pPr>
              <w:pStyle w:val="Compact"/>
            </w:pPr>
            <w:r>
              <w:t xml:space="preserve">First Subscription Drawdown</w:t>
            </w:r>
          </w:p>
        </w:tc>
      </w:tr>
      <w:tr>
        <w:tc>
          <w:tcPr/>
          <w:p>
            <w:pPr>
              <w:pStyle w:val="Compact"/>
            </w:pPr>
            <w:r>
              <w:t xml:space="preserve">Distribution Mechanics</w:t>
            </w:r>
          </w:p>
        </w:tc>
      </w:tr>
      <w:tr>
        <w:tc>
          <w:tcPr/>
          <w:p>
            <w:pPr>
              <w:pStyle w:val="Compact"/>
            </w:pPr>
            <w:r>
              <w:t xml:space="preserve">NAV reporting timeline interplay with Subscription Dates</w:t>
            </w:r>
          </w:p>
        </w:tc>
      </w:tr>
    </w:tbl>
    <w:p>
      <w:r>
        <w:pict>
          <v:rect style="width:0;height:1.5pt" o:hralign="center" o:hrstd="t" o:hr="t"/>
        </w:pict>
      </w:r>
    </w:p>
    <w:bookmarkEnd w:id="15"/>
    <w:bookmarkStart w:id="16" w:name="X327aa9e36eceff2ab7c834d86701ccc8a7157af"/>
    <w:p>
      <w:pPr>
        <w:pStyle w:val="Heading2"/>
      </w:pPr>
      <w:r>
        <w:t xml:space="preserve">Illustrative Timeline</w:t>
      </w:r>
      <w:r>
        <w:t xml:space="preserve"> </w:t>
      </w:r>
      <w:r>
        <w:rPr>
          <w:i/>
          <w:iCs/>
        </w:rPr>
        <w:t xml:space="preserve">dates illustrative Assuming sept.30 2026 final subscription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 *dates illustrative Assuming sept.30 2026 first outside date</w:t>
            </w:r>
          </w:p>
        </w:tc>
        <w:tc>
          <w:tcPr/>
          <w:p>
            <w:pPr>
              <w:pStyle w:val="Compact"/>
            </w:pPr>
            <w:r>
              <w:t xml:space="preserve">Event</w:t>
            </w:r>
          </w:p>
        </w:tc>
      </w:tr>
      <w:tr>
        <w:tc>
          <w:tcPr/>
          <w:p>
            <w:pPr>
              <w:pStyle w:val="Compact"/>
            </w:pPr>
            <w:r>
              <w:t xml:space="preserve">Q1 2026</w:t>
            </w:r>
          </w:p>
        </w:tc>
        <w:tc>
          <w:tcPr/>
          <w:p>
            <w:pPr>
              <w:pStyle w:val="Compact"/>
            </w:pPr>
            <w:r>
              <w:t xml:space="preserve">Evergreen conversion effective; existing MSC III capital converts</w:t>
            </w:r>
          </w:p>
        </w:tc>
      </w:tr>
      <w:tr>
        <w:tc>
          <w:tcPr/>
          <w:p>
            <w:pPr>
              <w:pStyle w:val="Compact"/>
            </w:pPr>
            <w:r>
              <w:t xml:space="preserve">March 31, 2026</w:t>
            </w:r>
          </w:p>
        </w:tc>
        <w:tc>
          <w:tcPr/>
          <w:p>
            <w:pPr>
              <w:pStyle w:val="Compact"/>
            </w:pPr>
            <w:r>
              <w:t xml:space="preserve">First semi-annual subscription window</w:t>
            </w:r>
          </w:p>
        </w:tc>
      </w:tr>
      <w:tr>
        <w:tc>
          <w:tcPr/>
          <w:p>
            <w:pPr>
              <w:pStyle w:val="Compact"/>
            </w:pPr>
            <w:r>
              <w:t xml:space="preserve">September or December 30, 2026</w:t>
            </w:r>
          </w:p>
        </w:tc>
        <w:tc>
          <w:tcPr/>
          <w:p>
            <w:pPr>
              <w:pStyle w:val="Compact"/>
            </w:pPr>
            <w:r>
              <w:t xml:space="preserve">First subscription period closes</w:t>
            </w:r>
          </w:p>
        </w:tc>
      </w:tr>
      <w:tr>
        <w:tc>
          <w:tcPr/>
          <w:p>
            <w:pPr>
              <w:pStyle w:val="Compact"/>
            </w:pPr>
            <w:r>
              <w:t xml:space="preserve">March 31, 2027</w:t>
            </w:r>
          </w:p>
        </w:tc>
        <w:tc>
          <w:tcPr/>
          <w:p>
            <w:pPr>
              <w:pStyle w:val="Compact"/>
            </w:pPr>
            <w:r>
              <w:t xml:space="preserve">Next subscription window opens</w:t>
            </w:r>
          </w:p>
        </w:tc>
      </w:tr>
      <w:tr>
        <w:tc>
          <w:tcPr/>
          <w:p>
            <w:pPr>
              <w:pStyle w:val="Compact"/>
            </w:pPr>
            <w:r>
              <w:t xml:space="preserve">December 30, 2027</w:t>
            </w:r>
          </w:p>
        </w:tc>
        <w:tc>
          <w:tcPr/>
          <w:p>
            <w:pPr>
              <w:pStyle w:val="Compact"/>
            </w:pPr>
            <w:r>
              <w:t xml:space="preserve">Outside date for second vintage subscription</w:t>
            </w:r>
          </w:p>
        </w:tc>
      </w:tr>
      <w:tr>
        <w:tc>
          <w:tcPr/>
          <w:p>
            <w:pPr>
              <w:pStyle w:val="Compact"/>
            </w:pPr>
            <w:r>
              <w:t xml:space="preserve">~October 1, 2028</w:t>
            </w:r>
          </w:p>
        </w:tc>
        <w:tc>
          <w:tcPr/>
          <w:p>
            <w:pPr>
              <w:pStyle w:val="Compact"/>
            </w:pPr>
            <w:r>
              <w:t xml:space="preserve">Election notice due for March 2026 subscribers</w:t>
            </w:r>
          </w:p>
        </w:tc>
      </w:tr>
      <w:tr>
        <w:tc>
          <w:tcPr/>
          <w:p>
            <w:pPr>
              <w:pStyle w:val="Compact"/>
            </w:pPr>
            <w:r>
              <w:t xml:space="preserve">March 31, 2029</w:t>
            </w:r>
          </w:p>
        </w:tc>
        <w:tc>
          <w:tcPr/>
          <w:p>
            <w:pPr>
              <w:pStyle w:val="Compact"/>
            </w:pPr>
            <w:r>
              <w:t xml:space="preserve">Lock-up expires for March 2026 subscribers; roll or run-off</w:t>
            </w:r>
          </w:p>
        </w:tc>
      </w:tr>
      <w:tr>
        <w:tc>
          <w:tcPr/>
          <w:p>
            <w:pPr>
              <w:pStyle w:val="Compact"/>
            </w:pPr>
            <w:r>
              <w:t xml:space="preserve">September 30, 2029</w:t>
            </w:r>
          </w:p>
        </w:tc>
        <w:tc>
          <w:tcPr/>
          <w:p>
            <w:pPr>
              <w:pStyle w:val="Compact"/>
            </w:pPr>
            <w:r>
              <w:t xml:space="preserve">Lock-up expires for September 2026 subscribers; roll or run-off</w:t>
            </w:r>
          </w:p>
        </w:tc>
      </w:tr>
    </w:tbl>
    <w:p>
      <w:r>
        <w:pict>
          <v:rect style="width:0;height:1.5pt" o:hralign="center" o:hrstd="t" o:hr="t"/>
        </w:pict>
      </w:r>
    </w:p>
    <w:bookmarkEnd w:id="16"/>
    <w:bookmarkStart w:id="17" w:name="X3142fe26c04a6665a8f1f347c9218340a8cec50"/>
    <w:p>
      <w:pPr>
        <w:pStyle w:val="Heading2"/>
      </w:pPr>
      <w:r>
        <w:t xml:space="preserve">Key Investor Feedback Supporting Conversion</w:t>
      </w:r>
    </w:p>
    <w:p>
      <w:pPr>
        <w:pStyle w:val="FirstParagraph"/>
      </w:pPr>
      <w:r>
        <w:rPr>
          <w:b/>
          <w:bCs/>
        </w:rPr>
        <w:t xml:space="preserve">GCM Grosvenor (Anchor LP):</w:t>
      </w:r>
    </w:p>
    <w:p>
      <w:pPr>
        <w:pStyle w:val="Compact"/>
        <w:numPr>
          <w:ilvl w:val="0"/>
          <w:numId w:val="1001"/>
        </w:numPr>
      </w:pPr>
      <w:r>
        <w:t xml:space="preserve">Preference has shifted entirely to evergreen over past 2-3 years</w:t>
      </w:r>
    </w:p>
    <w:p>
      <w:pPr>
        <w:pStyle w:val="Compact"/>
        <w:numPr>
          <w:ilvl w:val="0"/>
          <w:numId w:val="1001"/>
        </w:numPr>
      </w:pPr>
      <w:r>
        <w:t xml:space="preserve">“In a world of finite resources, it’s far more efficient”</w:t>
      </w:r>
    </w:p>
    <w:p>
      <w:pPr>
        <w:pStyle w:val="Compact"/>
        <w:numPr>
          <w:ilvl w:val="0"/>
          <w:numId w:val="1001"/>
        </w:numPr>
      </w:pPr>
      <w:r>
        <w:t xml:space="preserve">Actively encouraging NYC Comptroller’s Office ($40mm+ potential) to invest</w:t>
      </w:r>
    </w:p>
    <w:p>
      <w:pPr>
        <w:pStyle w:val="FirstParagraph"/>
      </w:pPr>
      <w:r>
        <w:rPr>
          <w:b/>
          <w:bCs/>
        </w:rPr>
        <w:t xml:space="preserve">Pipeline Highlights:</w:t>
      </w:r>
    </w:p>
    <w:p>
      <w:pPr>
        <w:pStyle w:val="Compact"/>
        <w:numPr>
          <w:ilvl w:val="0"/>
          <w:numId w:val="1002"/>
        </w:numPr>
      </w:pPr>
      <w:r>
        <w:t xml:space="preserve">3 accounts verbally committed contingent on evergreen conversion</w:t>
      </w:r>
    </w:p>
    <w:p>
      <w:pPr>
        <w:pStyle w:val="Compact"/>
        <w:numPr>
          <w:ilvl w:val="0"/>
          <w:numId w:val="1002"/>
        </w:numPr>
      </w:pPr>
      <w:r>
        <w:t xml:space="preserve">Meritage ($200-300mm), LGT ($20-100mm), Hirtle Callaghan ($20-40mm) in active discussions</w:t>
      </w:r>
    </w:p>
    <w:p>
      <w:pPr>
        <w:pStyle w:val="Compact"/>
        <w:numPr>
          <w:ilvl w:val="0"/>
          <w:numId w:val="1002"/>
        </w:numPr>
      </w:pPr>
      <w:r>
        <w:t xml:space="preserve">Interval fund channel (Stepstone, Aksia, Hamilton Lane, Cliffwater) requires evergreen format</w:t>
      </w:r>
    </w:p>
    <w:p>
      <w:pPr>
        <w:pStyle w:val="FirstParagraph"/>
      </w:pPr>
      <w:r>
        <w:rPr>
          <w:b/>
          <w:bCs/>
        </w:rPr>
        <w:t xml:space="preserve">Peer Color:</w:t>
      </w:r>
    </w:p>
    <w:p>
      <w:pPr>
        <w:pStyle w:val="Compact"/>
        <w:numPr>
          <w:ilvl w:val="0"/>
          <w:numId w:val="1003"/>
        </w:numPr>
      </w:pPr>
      <w:r>
        <w:t xml:space="preserve">Cross Ocean: 90% of inflows going to evergreen vs. drawdown version of same strategy</w:t>
      </w:r>
    </w:p>
    <w:p>
      <w:r>
        <w:pict>
          <v:rect style="width:0;height:1.5pt" o:hralign="center" o:hrstd="t" o:hr="t"/>
        </w:pict>
      </w:r>
    </w:p>
    <w:bookmarkEnd w:id="17"/>
    <w:bookmarkEnd w:id="18"/>
    <w:bookmarkStart w:id="39" w:name="Xbbc4cdefa2d7b5873908fc53e1b2f77d3cd0eee"/>
    <w:p>
      <w:pPr>
        <w:pStyle w:val="Heading1"/>
      </w:pPr>
      <w:r>
        <w:t xml:space="preserve">PART II: LEGAL &amp; OPERATIONAL IMPACT ASSESSMENT</w:t>
      </w:r>
    </w:p>
    <w:bookmarkStart w:id="19" w:name="baseline-assumptions"/>
    <w:p>
      <w:pPr>
        <w:pStyle w:val="Heading2"/>
      </w:pPr>
      <w:r>
        <w:t xml:space="preserve">Baseline Assumptions</w:t>
      </w:r>
    </w:p>
    <w:p>
      <w:pPr>
        <w:pStyle w:val="Compact"/>
        <w:numPr>
          <w:ilvl w:val="0"/>
          <w:numId w:val="1004"/>
        </w:numPr>
      </w:pPr>
      <w:r>
        <w:rPr>
          <w:b/>
          <w:bCs/>
        </w:rPr>
        <w:t xml:space="preserve">LP Consent:</w:t>
      </w:r>
      <w:r>
        <w:t xml:space="preserve"> </w:t>
      </w:r>
      <w:r>
        <w:t xml:space="preserve">All existing MSC III LPs have consented to the evergreen conversion.</w:t>
      </w:r>
    </w:p>
    <w:p>
      <w:pPr>
        <w:pStyle w:val="Compact"/>
        <w:numPr>
          <w:ilvl w:val="0"/>
          <w:numId w:val="1004"/>
        </w:numPr>
      </w:pPr>
      <w:r>
        <w:rPr>
          <w:b/>
          <w:bCs/>
        </w:rPr>
        <w:t xml:space="preserve">Tax Structure:</w:t>
      </w:r>
      <w:r>
        <w:t xml:space="preserve"> </w:t>
      </w:r>
      <w:r>
        <w:t xml:space="preserve">Treaty eligibility and tax treatment are no worse than MSC III, and arguably improved given the cash distribution option.</w:t>
      </w:r>
    </w:p>
    <w:p>
      <w:pPr>
        <w:pStyle w:val="Compact"/>
        <w:numPr>
          <w:ilvl w:val="0"/>
          <w:numId w:val="1004"/>
        </w:numPr>
      </w:pPr>
      <w:r>
        <w:rPr>
          <w:b/>
          <w:bCs/>
        </w:rPr>
        <w:t xml:space="preserve">ERISA / Regulatory:</w:t>
      </w:r>
      <w:r>
        <w:t xml:space="preserve"> </w:t>
      </w:r>
      <w:r>
        <w:t xml:space="preserve">Existing MSC III frameworks remain applicable and sufficient.</w:t>
      </w:r>
    </w:p>
    <w:p>
      <w:r>
        <w:pict>
          <v:rect style="width:0;height:1.5pt" o:hralign="center" o:hrstd="t" o:hr="t"/>
        </w:pict>
      </w:r>
    </w:p>
    <w:bookmarkEnd w:id="19"/>
    <w:bookmarkStart w:id="23" w:name="i.-legal-considerations"/>
    <w:p>
      <w:pPr>
        <w:pStyle w:val="Heading2"/>
      </w:pPr>
      <w:r>
        <w:t xml:space="preserve">I. Legal Considerations</w:t>
      </w:r>
    </w:p>
    <w:bookmarkStart w:id="20" w:name="a.-documentation-requirements"/>
    <w:p>
      <w:pPr>
        <w:pStyle w:val="Heading3"/>
      </w:pPr>
      <w:r>
        <w:t xml:space="preserve">A. Documentation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Effort</w:t>
            </w:r>
          </w:p>
        </w:tc>
        <w:tc>
          <w:tcPr/>
          <w:p>
            <w:pPr>
              <w:pStyle w:val="Compact"/>
            </w:pPr>
            <w:r>
              <w:t xml:space="preserve">Risk</w:t>
            </w:r>
          </w:p>
        </w:tc>
      </w:tr>
      <w:tr>
        <w:tc>
          <w:tcPr/>
          <w:p>
            <w:pPr>
              <w:pStyle w:val="Compact"/>
            </w:pPr>
            <w:r>
              <w:t xml:space="preserve">LPA Amendment / Restatement</w:t>
            </w:r>
          </w:p>
        </w:tc>
        <w:tc>
          <w:tcPr/>
          <w:p>
            <w:pPr>
              <w:pStyle w:val="Compact"/>
            </w:pPr>
            <w:r>
              <w:t xml:space="preserve">High</w:t>
            </w:r>
          </w:p>
        </w:tc>
        <w:tc>
          <w:tcPr/>
          <w:p>
            <w:pPr>
              <w:pStyle w:val="Compact"/>
            </w:pPr>
            <w:r>
              <w:t xml:space="preserve">Medium</w:t>
            </w:r>
          </w:p>
        </w:tc>
      </w:tr>
      <w:tr>
        <w:tc>
          <w:tcPr/>
          <w:p>
            <w:pPr>
              <w:pStyle w:val="Compact"/>
            </w:pPr>
            <w:r>
              <w:t xml:space="preserve">PPM Revision</w:t>
            </w:r>
          </w:p>
        </w:tc>
        <w:tc>
          <w:tcPr/>
          <w:p>
            <w:pPr>
              <w:pStyle w:val="Compact"/>
            </w:pPr>
            <w:r>
              <w:t xml:space="preserve">High</w:t>
            </w:r>
          </w:p>
        </w:tc>
        <w:tc>
          <w:tcPr/>
          <w:p>
            <w:pPr>
              <w:pStyle w:val="Compact"/>
            </w:pPr>
            <w:r>
              <w:t xml:space="preserve">Medium</w:t>
            </w:r>
          </w:p>
        </w:tc>
      </w:tr>
      <w:tr>
        <w:tc>
          <w:tcPr/>
          <w:p>
            <w:pPr>
              <w:pStyle w:val="Compact"/>
            </w:pPr>
            <w:r>
              <w:t xml:space="preserve">Subscription Documents</w:t>
            </w:r>
          </w:p>
        </w:tc>
        <w:tc>
          <w:tcPr/>
          <w:p>
            <w:pPr>
              <w:pStyle w:val="Compact"/>
            </w:pPr>
            <w:r>
              <w:t xml:space="preserve">Medium</w:t>
            </w:r>
          </w:p>
        </w:tc>
        <w:tc>
          <w:tcPr/>
          <w:p>
            <w:pPr>
              <w:pStyle w:val="Compact"/>
            </w:pPr>
            <w:r>
              <w:t xml:space="preserve">Low</w:t>
            </w:r>
          </w:p>
        </w:tc>
      </w:tr>
      <w:tr>
        <w:tc>
          <w:tcPr/>
          <w:p>
            <w:pPr>
              <w:pStyle w:val="Compact"/>
            </w:pPr>
            <w:r>
              <w:t xml:space="preserve">Side Letter Review</w:t>
            </w:r>
          </w:p>
        </w:tc>
        <w:tc>
          <w:tcPr/>
          <w:p>
            <w:pPr>
              <w:pStyle w:val="Compact"/>
            </w:pPr>
            <w:r>
              <w:t xml:space="preserve">Medium</w:t>
            </w:r>
          </w:p>
        </w:tc>
        <w:tc>
          <w:tcPr/>
          <w:p>
            <w:pPr>
              <w:pStyle w:val="Compact"/>
            </w:pPr>
            <w:r>
              <w:t xml:space="preserve">Low</w:t>
            </w:r>
          </w:p>
        </w:tc>
      </w:tr>
    </w:tbl>
    <w:bookmarkEnd w:id="20"/>
    <w:bookmarkStart w:id="21" w:name="b.-regulatory-classification"/>
    <w:p>
      <w:pPr>
        <w:pStyle w:val="Heading3"/>
      </w:pPr>
      <w:r>
        <w:t xml:space="preserve">B. Regulatory Classification</w:t>
      </w:r>
    </w:p>
    <w:tbl>
      <w:tblPr>
        <w:tblStyle w:val="Table"/>
        <w:tblW w:type="pct" w:w="5000"/>
        <w:tblLayout w:type="fixed"/>
        <w:tblLook w:firstRow="1" w:lastRow="0" w:firstColumn="0" w:lastColumn="0" w:noHBand="0" w:noVBand="0" w:val="0020"/>
      </w:tblPr>
      <w:tblGrid>
        <w:gridCol w:w="918"/>
        <w:gridCol w:w="1377"/>
        <w:gridCol w:w="3443"/>
        <w:gridCol w:w="2180"/>
      </w:tblGrid>
      <w:tr>
        <w:trPr>
          <w:tblHeader w:val="on"/>
        </w:trPr>
        <w:tc>
          <w:tcPr/>
          <w:p>
            <w:pPr>
              <w:pStyle w:val="Compact"/>
            </w:pPr>
            <w:r>
              <w:t xml:space="preserve">Issue</w:t>
            </w:r>
          </w:p>
        </w:tc>
        <w:tc>
          <w:tcPr/>
          <w:p>
            <w:pPr>
              <w:pStyle w:val="Compact"/>
            </w:pPr>
            <w:r>
              <w:t xml:space="preserve">Current</w:t>
            </w:r>
          </w:p>
        </w:tc>
        <w:tc>
          <w:tcPr/>
          <w:p>
            <w:pPr>
              <w:pStyle w:val="Compact"/>
            </w:pPr>
            <w:r>
              <w:t xml:space="preserve">Proposed</w:t>
            </w:r>
          </w:p>
        </w:tc>
        <w:tc>
          <w:tcPr/>
          <w:p>
            <w:pPr>
              <w:pStyle w:val="Compact"/>
            </w:pPr>
            <w:r>
              <w:t xml:space="preserve">Impact</w:t>
            </w:r>
          </w:p>
        </w:tc>
      </w:tr>
      <w:tr>
        <w:tc>
          <w:tcPr/>
          <w:p>
            <w:pPr>
              <w:pStyle w:val="Compact"/>
            </w:pPr>
            <w:r>
              <w:t xml:space="preserve">Form PF</w:t>
            </w:r>
          </w:p>
        </w:tc>
        <w:tc>
          <w:tcPr/>
          <w:p>
            <w:pPr>
              <w:pStyle w:val="Compact"/>
            </w:pPr>
            <w:r>
              <w:t xml:space="preserve">PE fund</w:t>
            </w:r>
          </w:p>
        </w:tc>
        <w:tc>
          <w:tcPr/>
          <w:p>
            <w:pPr>
              <w:pStyle w:val="Compact"/>
            </w:pPr>
            <w:r>
              <w:t xml:space="preserve">Likely hedge fund</w:t>
            </w:r>
          </w:p>
        </w:tc>
        <w:tc>
          <w:tcPr/>
          <w:p>
            <w:pPr>
              <w:pStyle w:val="Compact"/>
            </w:pPr>
            <w:r>
              <w:t xml:space="preserve">Increased reporting</w:t>
            </w:r>
          </w:p>
        </w:tc>
      </w:tr>
      <w:tr>
        <w:tc>
          <w:tcPr/>
          <w:p>
            <w:pPr>
              <w:pStyle w:val="Compact"/>
            </w:pPr>
            <w:r>
              <w:t xml:space="preserve">AIFMD</w:t>
            </w:r>
          </w:p>
        </w:tc>
        <w:tc>
          <w:tcPr/>
          <w:p>
            <w:pPr>
              <w:pStyle w:val="Compact"/>
            </w:pPr>
            <w:r>
              <w:t xml:space="preserve">Closed-ended</w:t>
            </w:r>
          </w:p>
        </w:tc>
        <w:tc>
          <w:tcPr/>
          <w:p>
            <w:pPr>
              <w:pStyle w:val="Compact"/>
            </w:pPr>
            <w:r>
              <w:t xml:space="preserve">Run-off preserves closed-ended</w:t>
            </w:r>
          </w:p>
        </w:tc>
        <w:tc>
          <w:tcPr/>
          <w:p>
            <w:pPr>
              <w:pStyle w:val="Compact"/>
            </w:pPr>
            <w:r>
              <w:t xml:space="preserve">Confirm with Sidley</w:t>
            </w:r>
          </w:p>
        </w:tc>
      </w:tr>
      <w:tr>
        <w:tc>
          <w:tcPr/>
          <w:p>
            <w:pPr>
              <w:pStyle w:val="Compact"/>
            </w:pPr>
            <w:r>
              <w:t xml:space="preserve">1940 Act</w:t>
            </w:r>
          </w:p>
        </w:tc>
        <w:tc>
          <w:tcPr/>
          <w:p>
            <w:pPr>
              <w:pStyle w:val="Compact"/>
            </w:pPr>
            <w:r>
              <w:t xml:space="preserve">Exempt</w:t>
            </w:r>
          </w:p>
        </w:tc>
        <w:tc>
          <w:tcPr/>
          <w:p>
            <w:pPr>
              <w:pStyle w:val="Compact"/>
            </w:pPr>
            <w:r>
              <w:t xml:space="preserve">Exempt</w:t>
            </w:r>
          </w:p>
        </w:tc>
        <w:tc>
          <w:tcPr/>
          <w:p>
            <w:pPr>
              <w:pStyle w:val="Compact"/>
            </w:pPr>
            <w:r>
              <w:t xml:space="preserve">No change</w:t>
            </w:r>
          </w:p>
        </w:tc>
      </w:tr>
    </w:tbl>
    <w:bookmarkEnd w:id="21"/>
    <w:bookmarkStart w:id="22" w:name="c.-fiduciary-considerations"/>
    <w:p>
      <w:pPr>
        <w:pStyle w:val="Heading3"/>
      </w:pPr>
      <w:r>
        <w:t xml:space="preserve">C. Fiduciary Considerations</w:t>
      </w:r>
    </w:p>
    <w:tbl>
      <w:tblPr>
        <w:tblStyle w:val="Table"/>
        <w:tblW w:type="pct" w:w="5000"/>
        <w:tblLayout w:type="fixed"/>
        <w:tblLook w:firstRow="1" w:lastRow="0" w:firstColumn="0" w:lastColumn="0" w:noHBand="0" w:noVBand="0" w:val="0020"/>
      </w:tblPr>
      <w:tblGrid>
        <w:gridCol w:w="1952"/>
        <w:gridCol w:w="5967"/>
      </w:tblGrid>
      <w:tr>
        <w:trPr>
          <w:tblHeader w:val="on"/>
        </w:trPr>
        <w:tc>
          <w:tcPr/>
          <w:p>
            <w:pPr>
              <w:pStyle w:val="Compact"/>
            </w:pPr>
            <w:r>
              <w:t xml:space="preserve">Issue</w:t>
            </w:r>
          </w:p>
        </w:tc>
        <w:tc>
          <w:tcPr/>
          <w:p>
            <w:pPr>
              <w:pStyle w:val="Compact"/>
            </w:pPr>
            <w:r>
              <w:t xml:space="preserve">Consideration</w:t>
            </w:r>
          </w:p>
        </w:tc>
      </w:tr>
      <w:tr>
        <w:tc>
          <w:tcPr/>
          <w:p>
            <w:pPr>
              <w:pStyle w:val="Compact"/>
            </w:pPr>
            <w:r>
              <w:t xml:space="preserve">Inter-LP Conflicts</w:t>
            </w:r>
          </w:p>
        </w:tc>
        <w:tc>
          <w:tcPr/>
          <w:p>
            <w:pPr>
              <w:pStyle w:val="Compact"/>
            </w:pPr>
            <w:r>
              <w:t xml:space="preserve">Run-off vs. continuing LPs may have divergent interests</w:t>
            </w:r>
          </w:p>
        </w:tc>
      </w:tr>
      <w:tr>
        <w:tc>
          <w:tcPr/>
          <w:p>
            <w:pPr>
              <w:pStyle w:val="Compact"/>
            </w:pPr>
            <w:r>
              <w:t xml:space="preserve">NAV Reliability</w:t>
            </w:r>
          </w:p>
        </w:tc>
        <w:tc>
          <w:tcPr/>
          <w:p>
            <w:pPr>
              <w:pStyle w:val="Compact"/>
            </w:pPr>
            <w:r>
              <w:t xml:space="preserve">Errors benefit one LP group at expense of another</w:t>
            </w:r>
          </w:p>
        </w:tc>
      </w:tr>
      <w:tr>
        <w:tc>
          <w:tcPr/>
          <w:p>
            <w:pPr>
              <w:pStyle w:val="Compact"/>
            </w:pPr>
            <w:r>
              <w:t xml:space="preserve">Allocation Policy</w:t>
            </w:r>
          </w:p>
        </w:tc>
        <w:tc>
          <w:tcPr/>
          <w:p>
            <w:pPr>
              <w:pStyle w:val="Compact"/>
            </w:pPr>
            <w:r>
              <w:t xml:space="preserve">Must be fair across subscription cohorts</w:t>
            </w:r>
          </w:p>
        </w:tc>
      </w:tr>
    </w:tbl>
    <w:p>
      <w:r>
        <w:pict>
          <v:rect style="width:0;height:1.5pt" o:hralign="center" o:hrstd="t" o:hr="t"/>
        </w:pict>
      </w:r>
    </w:p>
    <w:bookmarkEnd w:id="22"/>
    <w:bookmarkEnd w:id="23"/>
    <w:bookmarkStart w:id="27" w:name="X77a3479f0eb76ed12115b99dea15dc15807a5ea"/>
    <w:p>
      <w:pPr>
        <w:pStyle w:val="Heading2"/>
      </w:pPr>
      <w:r>
        <w:t xml:space="preserve">II. Operational Analysis: Benefits vs. Burdens</w:t>
      </w:r>
    </w:p>
    <w:bookmarkStart w:id="24" w:name="a.-operational-benefits"/>
    <w:p>
      <w:pPr>
        <w:pStyle w:val="Heading3"/>
      </w:pPr>
      <w:r>
        <w:t xml:space="preserve">A. Operational Benefits</w:t>
      </w:r>
    </w:p>
    <w:tbl>
      <w:tblPr>
        <w:tblStyle w:val="Table"/>
        <w:tblW w:type="pct" w:w="5000"/>
        <w:tblLayout w:type="fixed"/>
        <w:tblLook w:firstRow="1" w:lastRow="0" w:firstColumn="0" w:lastColumn="0" w:noHBand="0" w:noVBand="0" w:val="0020"/>
      </w:tblPr>
      <w:tblGrid>
        <w:gridCol w:w="2084"/>
        <w:gridCol w:w="3543"/>
        <w:gridCol w:w="1597"/>
        <w:gridCol w:w="694"/>
      </w:tblGrid>
      <w:tr>
        <w:trPr>
          <w:tblHeader w:val="on"/>
        </w:trPr>
        <w:tc>
          <w:tcPr/>
          <w:p>
            <w:pPr>
              <w:pStyle w:val="Compact"/>
            </w:pPr>
            <w:r>
              <w:t xml:space="preserve">Function</w:t>
            </w:r>
          </w:p>
        </w:tc>
        <w:tc>
          <w:tcPr/>
          <w:p>
            <w:pPr>
              <w:pStyle w:val="Compact"/>
            </w:pPr>
            <w:r>
              <w:t xml:space="preserve">Current (Drawdown)</w:t>
            </w:r>
          </w:p>
        </w:tc>
        <w:tc>
          <w:tcPr/>
          <w:p>
            <w:pPr>
              <w:pStyle w:val="Compact"/>
            </w:pPr>
            <w:r>
              <w:t xml:space="preserve">Proposed (Evergreen)</w:t>
            </w:r>
          </w:p>
        </w:tc>
        <w:tc>
          <w:tcPr/>
          <w:p>
            <w:pPr>
              <w:pStyle w:val="Compact"/>
            </w:pPr>
            <w:r>
              <w:t xml:space="preserve">Benefit</w:t>
            </w:r>
          </w:p>
        </w:tc>
      </w:tr>
      <w:tr>
        <w:tc>
          <w:tcPr/>
          <w:p>
            <w:pPr>
              <w:pStyle w:val="Compact"/>
            </w:pPr>
            <w:r>
              <w:t xml:space="preserve">Capital Calls</w:t>
            </w:r>
          </w:p>
        </w:tc>
        <w:tc>
          <w:tcPr/>
          <w:p>
            <w:pPr>
              <w:pStyle w:val="Compact"/>
            </w:pPr>
            <w:r>
              <w:t xml:space="preserve">Complex (notices, tracking, defaults, true-ups)</w:t>
            </w:r>
          </w:p>
        </w:tc>
        <w:tc>
          <w:tcPr/>
          <w:p>
            <w:pPr>
              <w:pStyle w:val="Compact"/>
            </w:pPr>
            <w:r>
              <w:t xml:space="preserve">Eliminated</w:t>
            </w:r>
          </w:p>
        </w:tc>
        <w:tc>
          <w:tcPr/>
          <w:p>
            <w:pPr>
              <w:pStyle w:val="Compact"/>
            </w:pPr>
            <w:r>
              <w:rPr>
                <w:b/>
                <w:bCs/>
              </w:rPr>
              <w:t xml:space="preserve">High</w:t>
            </w:r>
          </w:p>
        </w:tc>
      </w:tr>
      <w:tr>
        <w:tc>
          <w:tcPr/>
          <w:p>
            <w:pPr>
              <w:pStyle w:val="Compact"/>
            </w:pPr>
            <w:r>
              <w:t xml:space="preserve">Subsequent Closer Equalization</w:t>
            </w:r>
          </w:p>
        </w:tc>
        <w:tc>
          <w:tcPr/>
          <w:p>
            <w:pPr>
              <w:pStyle w:val="Compact"/>
            </w:pPr>
            <w:r>
              <w:t xml:space="preserve">Complex calculations each closing</w:t>
            </w:r>
          </w:p>
        </w:tc>
        <w:tc>
          <w:tcPr/>
          <w:p>
            <w:pPr>
              <w:pStyle w:val="Compact"/>
            </w:pPr>
            <w:r>
              <w:t xml:space="preserve">NAV-in pricing</w:t>
            </w:r>
          </w:p>
        </w:tc>
        <w:tc>
          <w:tcPr/>
          <w:p>
            <w:pPr>
              <w:pStyle w:val="Compact"/>
            </w:pPr>
            <w:r>
              <w:rPr>
                <w:b/>
                <w:bCs/>
              </w:rPr>
              <w:t xml:space="preserve">High</w:t>
            </w:r>
          </w:p>
        </w:tc>
      </w:tr>
      <w:tr>
        <w:tc>
          <w:tcPr/>
          <w:p>
            <w:pPr>
              <w:pStyle w:val="Compact"/>
            </w:pPr>
            <w:r>
              <w:t xml:space="preserve">Fund Proliferation</w:t>
            </w:r>
          </w:p>
        </w:tc>
        <w:tc>
          <w:tcPr/>
          <w:p>
            <w:pPr>
              <w:pStyle w:val="Compact"/>
            </w:pPr>
            <w:r>
              <w:t xml:space="preserve">MSC IV, V, VI each need separate docs, admin, audit</w:t>
            </w:r>
          </w:p>
        </w:tc>
        <w:tc>
          <w:tcPr/>
          <w:p>
            <w:pPr>
              <w:pStyle w:val="Compact"/>
            </w:pPr>
            <w:r>
              <w:t xml:space="preserve">Single vehicle</w:t>
            </w:r>
          </w:p>
        </w:tc>
        <w:tc>
          <w:tcPr/>
          <w:p>
            <w:pPr>
              <w:pStyle w:val="Compact"/>
            </w:pPr>
            <w:r>
              <w:rPr>
                <w:b/>
                <w:bCs/>
              </w:rPr>
              <w:t xml:space="preserve">High</w:t>
            </w:r>
          </w:p>
        </w:tc>
      </w:tr>
      <w:tr>
        <w:tc>
          <w:tcPr/>
          <w:p>
            <w:pPr>
              <w:pStyle w:val="Compact"/>
            </w:pPr>
            <w:r>
              <w:t xml:space="preserve">Re-Up Process</w:t>
            </w:r>
          </w:p>
        </w:tc>
        <w:tc>
          <w:tcPr/>
          <w:p>
            <w:pPr>
              <w:pStyle w:val="Compact"/>
            </w:pPr>
            <w:r>
              <w:t xml:space="preserve">Full 12-18 month fundraise every 3-4 years</w:t>
            </w:r>
          </w:p>
        </w:tc>
        <w:tc>
          <w:tcPr/>
          <w:p>
            <w:pPr>
              <w:pStyle w:val="Compact"/>
            </w:pPr>
            <w:r>
              <w:t xml:space="preserve">Automatic continuation</w:t>
            </w:r>
          </w:p>
        </w:tc>
        <w:tc>
          <w:tcPr/>
          <w:p>
            <w:pPr>
              <w:pStyle w:val="Compact"/>
            </w:pPr>
            <w:r>
              <w:rPr>
                <w:b/>
                <w:bCs/>
              </w:rPr>
              <w:t xml:space="preserve">High</w:t>
            </w:r>
          </w:p>
        </w:tc>
      </w:tr>
      <w:tr>
        <w:tc>
          <w:tcPr/>
          <w:p>
            <w:pPr>
              <w:pStyle w:val="Compact"/>
            </w:pPr>
            <w:r>
              <w:t xml:space="preserve">LP Default Risk</w:t>
            </w:r>
          </w:p>
        </w:tc>
        <w:tc>
          <w:tcPr/>
          <w:p>
            <w:pPr>
              <w:pStyle w:val="Compact"/>
            </w:pPr>
            <w:r>
              <w:t xml:space="preserve">Present on unfunded commitments</w:t>
            </w:r>
          </w:p>
        </w:tc>
        <w:tc>
          <w:tcPr/>
          <w:p>
            <w:pPr>
              <w:pStyle w:val="Compact"/>
            </w:pPr>
            <w:r>
              <w:t xml:space="preserve">Eliminated</w:t>
            </w:r>
          </w:p>
        </w:tc>
        <w:tc>
          <w:tcPr/>
          <w:p>
            <w:pPr>
              <w:pStyle w:val="Compact"/>
            </w:pPr>
            <w:r>
              <w:rPr>
                <w:b/>
                <w:bCs/>
              </w:rPr>
              <w:t xml:space="preserve">Medium</w:t>
            </w:r>
          </w:p>
        </w:tc>
      </w:tr>
      <w:tr>
        <w:tc>
          <w:tcPr/>
          <w:p>
            <w:pPr>
              <w:pStyle w:val="Compact"/>
            </w:pPr>
            <w:r>
              <w:t xml:space="preserve">Cash Drag</w:t>
            </w:r>
          </w:p>
        </w:tc>
        <w:tc>
          <w:tcPr/>
          <w:p>
            <w:pPr>
              <w:pStyle w:val="Compact"/>
            </w:pPr>
            <w:r>
              <w:t xml:space="preserve">Uncalled capital sits idle</w:t>
            </w:r>
          </w:p>
        </w:tc>
        <w:tc>
          <w:tcPr/>
          <w:p>
            <w:pPr>
              <w:pStyle w:val="Compact"/>
            </w:pPr>
            <w:r>
              <w:t xml:space="preserve">Full deployment day one</w:t>
            </w:r>
          </w:p>
        </w:tc>
        <w:tc>
          <w:tcPr/>
          <w:p>
            <w:pPr>
              <w:pStyle w:val="Compact"/>
            </w:pPr>
            <w:r>
              <w:rPr>
                <w:b/>
                <w:bCs/>
              </w:rPr>
              <w:t xml:space="preserve">Medium</w:t>
            </w:r>
          </w:p>
        </w:tc>
      </w:tr>
    </w:tbl>
    <w:bookmarkEnd w:id="24"/>
    <w:bookmarkStart w:id="25" w:name="b.-operational-burdens"/>
    <w:p>
      <w:pPr>
        <w:pStyle w:val="Heading3"/>
      </w:pPr>
      <w:r>
        <w:t xml:space="preserve">B. Operational Burdens</w:t>
      </w:r>
    </w:p>
    <w:tbl>
      <w:tblPr>
        <w:tblStyle w:val="Table"/>
        <w:tblW w:type="pct" w:w="5000"/>
        <w:tblLayout w:type="fixed"/>
        <w:tblLook w:firstRow="1" w:lastRow="0" w:firstColumn="0" w:lastColumn="0" w:noHBand="0" w:noVBand="0" w:val="0020"/>
      </w:tblPr>
      <w:tblGrid>
        <w:gridCol w:w="2001"/>
        <w:gridCol w:w="2001"/>
        <w:gridCol w:w="3046"/>
        <w:gridCol w:w="870"/>
      </w:tblGrid>
      <w:tr>
        <w:trPr>
          <w:tblHeader w:val="on"/>
        </w:trPr>
        <w:tc>
          <w:tcPr/>
          <w:p>
            <w:pPr>
              <w:pStyle w:val="Compact"/>
            </w:pPr>
            <w:r>
              <w:t xml:space="preserve">Function</w:t>
            </w:r>
          </w:p>
        </w:tc>
        <w:tc>
          <w:tcPr/>
          <w:p>
            <w:pPr>
              <w:pStyle w:val="Compact"/>
            </w:pPr>
            <w:r>
              <w:t xml:space="preserve">Current (Drawdown)</w:t>
            </w:r>
          </w:p>
        </w:tc>
        <w:tc>
          <w:tcPr/>
          <w:p>
            <w:pPr>
              <w:pStyle w:val="Compact"/>
            </w:pPr>
            <w:r>
              <w:t xml:space="preserve">Proposed (Evergreen)</w:t>
            </w:r>
          </w:p>
        </w:tc>
        <w:tc>
          <w:tcPr/>
          <w:p>
            <w:pPr>
              <w:pStyle w:val="Compact"/>
            </w:pPr>
            <w:r>
              <w:t xml:space="preserve">Burden</w:t>
            </w:r>
          </w:p>
        </w:tc>
      </w:tr>
      <w:tr>
        <w:tc>
          <w:tcPr/>
          <w:p>
            <w:pPr>
              <w:pStyle w:val="Compact"/>
            </w:pPr>
            <w:r>
              <w:t xml:space="preserve">NAV Calculation</w:t>
            </w:r>
          </w:p>
        </w:tc>
        <w:tc>
          <w:tcPr/>
          <w:p>
            <w:pPr>
              <w:pStyle w:val="Compact"/>
            </w:pPr>
            <w:r>
              <w:t xml:space="preserve">Reporting only</w:t>
            </w:r>
          </w:p>
        </w:tc>
        <w:tc>
          <w:tcPr/>
          <w:p>
            <w:pPr>
              <w:pStyle w:val="Compact"/>
            </w:pPr>
            <w:r>
              <w:t xml:space="preserve">Drives subscriptions, exits, fees</w:t>
            </w:r>
          </w:p>
        </w:tc>
        <w:tc>
          <w:tcPr/>
          <w:p>
            <w:pPr>
              <w:pStyle w:val="Compact"/>
            </w:pPr>
            <w:r>
              <w:rPr>
                <w:b/>
                <w:bCs/>
              </w:rPr>
              <w:t xml:space="preserve">High</w:t>
            </w:r>
          </w:p>
        </w:tc>
      </w:tr>
      <w:tr>
        <w:tc>
          <w:tcPr/>
          <w:p>
            <w:pPr>
              <w:pStyle w:val="Compact"/>
            </w:pPr>
            <w:r>
              <w:t xml:space="preserve">Valuation Scrutiny</w:t>
            </w:r>
          </w:p>
        </w:tc>
        <w:tc>
          <w:tcPr/>
          <w:p>
            <w:pPr>
              <w:pStyle w:val="Compact"/>
            </w:pPr>
            <w:r>
              <w:t xml:space="preserve">Moderate</w:t>
            </w:r>
          </w:p>
        </w:tc>
        <w:tc>
          <w:tcPr/>
          <w:p>
            <w:pPr>
              <w:pStyle w:val="Compact"/>
            </w:pPr>
            <w:r>
              <w:t xml:space="preserve">High (transactional consequence)</w:t>
            </w:r>
          </w:p>
        </w:tc>
        <w:tc>
          <w:tcPr/>
          <w:p>
            <w:pPr>
              <w:pStyle w:val="Compact"/>
            </w:pPr>
            <w:r>
              <w:rPr>
                <w:b/>
                <w:bCs/>
              </w:rPr>
              <w:t xml:space="preserve">Medium</w:t>
            </w:r>
          </w:p>
        </w:tc>
      </w:tr>
      <w:tr>
        <w:tc>
          <w:tcPr/>
          <w:p>
            <w:pPr>
              <w:pStyle w:val="Compact"/>
            </w:pPr>
            <w:r>
              <w:t xml:space="preserve">Subscription Processing</w:t>
            </w:r>
          </w:p>
        </w:tc>
        <w:tc>
          <w:tcPr/>
          <w:p>
            <w:pPr>
              <w:pStyle w:val="Compact"/>
            </w:pPr>
            <w:r>
              <w:t xml:space="preserve">Episodic</w:t>
            </w:r>
          </w:p>
        </w:tc>
        <w:tc>
          <w:tcPr/>
          <w:p>
            <w:pPr>
              <w:pStyle w:val="Compact"/>
            </w:pPr>
            <w:r>
              <w:t xml:space="preserve">Ongoing (semi-annual+)</w:t>
            </w:r>
          </w:p>
        </w:tc>
        <w:tc>
          <w:tcPr/>
          <w:p>
            <w:pPr>
              <w:pStyle w:val="Compact"/>
            </w:pPr>
            <w:r>
              <w:rPr>
                <w:b/>
                <w:bCs/>
              </w:rPr>
              <w:t xml:space="preserve">Medium</w:t>
            </w:r>
          </w:p>
        </w:tc>
      </w:tr>
      <w:tr>
        <w:tc>
          <w:tcPr/>
          <w:p>
            <w:pPr>
              <w:pStyle w:val="Compact"/>
            </w:pPr>
            <w:r>
              <w:t xml:space="preserve">Lock-Up Tracking</w:t>
            </w:r>
          </w:p>
        </w:tc>
        <w:tc>
          <w:tcPr/>
          <w:p>
            <w:pPr>
              <w:pStyle w:val="Compact"/>
            </w:pPr>
            <w:r>
              <w:t xml:space="preserve">N/A</w:t>
            </w:r>
          </w:p>
        </w:tc>
        <w:tc>
          <w:tcPr/>
          <w:p>
            <w:pPr>
              <w:pStyle w:val="Compact"/>
            </w:pPr>
            <w:r>
              <w:t xml:space="preserve">Track each LP’s dates and elections</w:t>
            </w:r>
          </w:p>
        </w:tc>
        <w:tc>
          <w:tcPr/>
          <w:p>
            <w:pPr>
              <w:pStyle w:val="Compact"/>
            </w:pPr>
            <w:r>
              <w:rPr>
                <w:b/>
                <w:bCs/>
              </w:rPr>
              <w:t xml:space="preserve">New</w:t>
            </w:r>
          </w:p>
        </w:tc>
      </w:tr>
      <w:tr>
        <w:tc>
          <w:tcPr/>
          <w:p>
            <w:pPr>
              <w:pStyle w:val="Compact"/>
            </w:pPr>
            <w:r>
              <w:t xml:space="preserve">Run-Off Tracking</w:t>
            </w:r>
          </w:p>
        </w:tc>
        <w:tc>
          <w:tcPr/>
          <w:p>
            <w:pPr>
              <w:pStyle w:val="Compact"/>
            </w:pPr>
            <w:r>
              <w:t xml:space="preserve">N/A</w:t>
            </w:r>
          </w:p>
        </w:tc>
        <w:tc>
          <w:tcPr/>
          <w:p>
            <w:pPr>
              <w:pStyle w:val="Compact"/>
            </w:pPr>
            <w:r>
              <w:t xml:space="preserve">Position-level allocation tracking</w:t>
            </w:r>
          </w:p>
        </w:tc>
        <w:tc>
          <w:tcPr/>
          <w:p>
            <w:pPr>
              <w:pStyle w:val="Compact"/>
            </w:pPr>
            <w:r>
              <w:rPr>
                <w:b/>
                <w:bCs/>
              </w:rPr>
              <w:t xml:space="preserve">New</w:t>
            </w:r>
          </w:p>
        </w:tc>
      </w:tr>
      <w:tr>
        <w:tc>
          <w:tcPr/>
          <w:p>
            <w:pPr>
              <w:pStyle w:val="Compact"/>
            </w:pPr>
            <w:r>
              <w:t xml:space="preserve">Distribution Processing</w:t>
            </w:r>
          </w:p>
        </w:tc>
        <w:tc>
          <w:tcPr/>
          <w:p>
            <w:pPr>
              <w:pStyle w:val="Compact"/>
            </w:pPr>
            <w:r>
              <w:t xml:space="preserve">Pro-rata at realization</w:t>
            </w:r>
          </w:p>
        </w:tc>
        <w:tc>
          <w:tcPr/>
          <w:p>
            <w:pPr>
              <w:pStyle w:val="Compact"/>
            </w:pPr>
            <w:r>
              <w:t xml:space="preserve">Multiple treatment types</w:t>
            </w:r>
          </w:p>
        </w:tc>
        <w:tc>
          <w:tcPr/>
          <w:p>
            <w:pPr>
              <w:pStyle w:val="Compact"/>
            </w:pPr>
            <w:r>
              <w:rPr>
                <w:b/>
                <w:bCs/>
              </w:rPr>
              <w:t xml:space="preserve">Medium</w:t>
            </w:r>
          </w:p>
        </w:tc>
      </w:tr>
    </w:tbl>
    <w:bookmarkEnd w:id="25"/>
    <w:bookmarkStart w:id="26" w:name="c.-net-assessment"/>
    <w:p>
      <w:pPr>
        <w:pStyle w:val="Heading3"/>
      </w:pPr>
      <w:r>
        <w:t xml:space="preserve">C. Net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Winner</w:t>
            </w:r>
          </w:p>
        </w:tc>
      </w:tr>
      <w:tr>
        <w:tc>
          <w:tcPr/>
          <w:p>
            <w:pPr>
              <w:pStyle w:val="Compact"/>
            </w:pPr>
            <w:r>
              <w:t xml:space="preserve">Capital call administration</w:t>
            </w:r>
          </w:p>
        </w:tc>
        <w:tc>
          <w:tcPr/>
          <w:p>
            <w:pPr>
              <w:pStyle w:val="Compact"/>
            </w:pPr>
            <w:r>
              <w:rPr>
                <w:b/>
                <w:bCs/>
              </w:rPr>
              <w:t xml:space="preserve">Evergreen</w:t>
            </w:r>
          </w:p>
        </w:tc>
      </w:tr>
      <w:tr>
        <w:tc>
          <w:tcPr/>
          <w:p>
            <w:pPr>
              <w:pStyle w:val="Compact"/>
            </w:pPr>
            <w:r>
              <w:t xml:space="preserve">Subsequent closer mechanics</w:t>
            </w:r>
          </w:p>
        </w:tc>
        <w:tc>
          <w:tcPr/>
          <w:p>
            <w:pPr>
              <w:pStyle w:val="Compact"/>
            </w:pPr>
            <w:r>
              <w:rPr>
                <w:b/>
                <w:bCs/>
              </w:rPr>
              <w:t xml:space="preserve">Evergreen</w:t>
            </w:r>
          </w:p>
        </w:tc>
      </w:tr>
      <w:tr>
        <w:tc>
          <w:tcPr/>
          <w:p>
            <w:pPr>
              <w:pStyle w:val="Compact"/>
            </w:pPr>
            <w:r>
              <w:t xml:space="preserve">Fund formation over time</w:t>
            </w:r>
          </w:p>
        </w:tc>
        <w:tc>
          <w:tcPr/>
          <w:p>
            <w:pPr>
              <w:pStyle w:val="Compact"/>
            </w:pPr>
            <w:r>
              <w:rPr>
                <w:b/>
                <w:bCs/>
              </w:rPr>
              <w:t xml:space="preserve">Evergreen</w:t>
            </w:r>
          </w:p>
        </w:tc>
      </w:tr>
      <w:tr>
        <w:tc>
          <w:tcPr/>
          <w:p>
            <w:pPr>
              <w:pStyle w:val="Compact"/>
            </w:pPr>
            <w:r>
              <w:t xml:space="preserve">LP default exposure</w:t>
            </w:r>
          </w:p>
        </w:tc>
        <w:tc>
          <w:tcPr/>
          <w:p>
            <w:pPr>
              <w:pStyle w:val="Compact"/>
            </w:pPr>
            <w:r>
              <w:rPr>
                <w:b/>
                <w:bCs/>
              </w:rPr>
              <w:t xml:space="preserve">Evergreen</w:t>
            </w:r>
          </w:p>
        </w:tc>
      </w:tr>
      <w:tr>
        <w:tc>
          <w:tcPr/>
          <w:p>
            <w:pPr>
              <w:pStyle w:val="Compact"/>
            </w:pPr>
            <w:r>
              <w:t xml:space="preserve">NAV calculation stakes</w:t>
            </w:r>
          </w:p>
        </w:tc>
        <w:tc>
          <w:tcPr/>
          <w:p>
            <w:pPr>
              <w:pStyle w:val="Compact"/>
            </w:pPr>
            <w:r>
              <w:t xml:space="preserve">Drawdown</w:t>
            </w:r>
          </w:p>
        </w:tc>
      </w:tr>
      <w:tr>
        <w:tc>
          <w:tcPr/>
          <w:p>
            <w:pPr>
              <w:pStyle w:val="Compact"/>
            </w:pPr>
            <w:r>
              <w:t xml:space="preserve">Subscription processing</w:t>
            </w:r>
          </w:p>
        </w:tc>
        <w:tc>
          <w:tcPr/>
          <w:p>
            <w:pPr>
              <w:pStyle w:val="Compact"/>
            </w:pPr>
            <w:r>
              <w:t xml:space="preserve">Drawdown</w:t>
            </w:r>
          </w:p>
        </w:tc>
      </w:tr>
      <w:tr>
        <w:tc>
          <w:tcPr/>
          <w:p>
            <w:pPr>
              <w:pStyle w:val="Compact"/>
            </w:pPr>
            <w:r>
              <w:t xml:space="preserve">Lock-up/election tracking</w:t>
            </w:r>
          </w:p>
        </w:tc>
        <w:tc>
          <w:tcPr/>
          <w:p>
            <w:pPr>
              <w:pStyle w:val="Compact"/>
            </w:pPr>
            <w:r>
              <w:t xml:space="preserve">Drawdown</w:t>
            </w:r>
          </w:p>
        </w:tc>
      </w:tr>
      <w:tr>
        <w:tc>
          <w:tcPr/>
          <w:p>
            <w:pPr>
              <w:pStyle w:val="Compact"/>
            </w:pPr>
            <w:r>
              <w:t xml:space="preserve">Run-off administration</w:t>
            </w:r>
          </w:p>
        </w:tc>
        <w:tc>
          <w:tcPr/>
          <w:p>
            <w:pPr>
              <w:pStyle w:val="Compact"/>
            </w:pPr>
            <w:r>
              <w:t xml:space="preserve">Drawdown</w:t>
            </w:r>
          </w:p>
        </w:tc>
      </w:tr>
    </w:tbl>
    <w:p>
      <w:pPr>
        <w:pStyle w:val="BodyText"/>
      </w:pPr>
      <w:r>
        <w:rPr>
          <w:b/>
          <w:bCs/>
        </w:rPr>
        <w:t xml:space="preserve">Summary:</w:t>
      </w:r>
      <w:r>
        <w:t xml:space="preserve"> </w:t>
      </w:r>
      <w:r>
        <w:t xml:space="preserve">Evergreen front-loads operational complexity but eliminates the episodic burden of fundraising, capital calls, and fund proliferation. Over a multi-fund cycle, the evergreen structure is more efficient.</w:t>
      </w:r>
    </w:p>
    <w:p>
      <w:r>
        <w:pict>
          <v:rect style="width:0;height:1.5pt" o:hralign="center" o:hrstd="t" o:hr="t"/>
        </w:pict>
      </w:r>
    </w:p>
    <w:bookmarkEnd w:id="26"/>
    <w:bookmarkEnd w:id="27"/>
    <w:bookmarkStart w:id="30" w:name="iii.-key-operational-risks"/>
    <w:p>
      <w:pPr>
        <w:pStyle w:val="Heading2"/>
      </w:pPr>
      <w:r>
        <w:t xml:space="preserve">III. Key Operational Risks</w:t>
      </w:r>
    </w:p>
    <w:bookmarkStart w:id="28" w:name="a.-valuation-accuracy"/>
    <w:p>
      <w:pPr>
        <w:pStyle w:val="Heading3"/>
      </w:pPr>
      <w:r>
        <w:t xml:space="preserve">A. Valuation Accuracy</w:t>
      </w:r>
    </w:p>
    <w:p>
      <w:pPr>
        <w:pStyle w:val="FirstParagraph"/>
      </w:pPr>
      <w:r>
        <w:rPr>
          <w:b/>
          <w:bCs/>
        </w:rPr>
        <w:t xml:space="preserve">Why It Matters More:</w:t>
      </w:r>
      <w:r>
        <w:t xml:space="preserve"> </w:t>
      </w:r>
      <w:r>
        <w:t xml:space="preserve">In a drawdown fund, NAV is informational. In evergreen, NAV directly determines entry price, exit value, and fee base. Errors create winners and losers.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NAV Error</w:t>
            </w:r>
          </w:p>
        </w:tc>
        <w:tc>
          <w:tcPr/>
          <w:p>
            <w:pPr>
              <w:pStyle w:val="Compact"/>
            </w:pPr>
            <w:r>
              <w:t xml:space="preserve">Impact</w:t>
            </w:r>
          </w:p>
        </w:tc>
      </w:tr>
      <w:tr>
        <w:tc>
          <w:tcPr/>
          <w:p>
            <w:pPr>
              <w:pStyle w:val="Compact"/>
            </w:pPr>
            <w:r>
              <w:t xml:space="preserve">Overstated</w:t>
            </w:r>
          </w:p>
        </w:tc>
        <w:tc>
          <w:tcPr/>
          <w:p>
            <w:pPr>
              <w:pStyle w:val="Compact"/>
            </w:pPr>
            <w:r>
              <w:t xml:space="preserve">New LPs overpay; run-off LPs overpaid</w:t>
            </w:r>
          </w:p>
        </w:tc>
      </w:tr>
      <w:tr>
        <w:tc>
          <w:tcPr/>
          <w:p>
            <w:pPr>
              <w:pStyle w:val="Compact"/>
            </w:pPr>
            <w:r>
              <w:t xml:space="preserve">Understated</w:t>
            </w:r>
          </w:p>
        </w:tc>
        <w:tc>
          <w:tcPr/>
          <w:p>
            <w:pPr>
              <w:pStyle w:val="Compact"/>
            </w:pPr>
            <w:r>
              <w:t xml:space="preserve">New LPs get bargain; run-off LPs underpaid</w:t>
            </w:r>
          </w:p>
        </w:tc>
      </w:tr>
    </w:tbl>
    <w:p>
      <w:pPr>
        <w:pStyle w:val="BodyText"/>
      </w:pPr>
      <w:r>
        <w:rPr>
          <w:b/>
          <w:bCs/>
        </w:rPr>
        <w:t xml:space="preserve">Current Mitigants:</w:t>
      </w:r>
    </w:p>
    <w:p>
      <w:pPr>
        <w:pStyle w:val="Compact"/>
        <w:numPr>
          <w:ilvl w:val="0"/>
          <w:numId w:val="1005"/>
        </w:numPr>
      </w:pPr>
      <w:r>
        <w:t xml:space="preserve">Third-party valuation agent in place</w:t>
      </w:r>
    </w:p>
    <w:p>
      <w:pPr>
        <w:pStyle w:val="Compact"/>
        <w:numPr>
          <w:ilvl w:val="0"/>
          <w:numId w:val="1005"/>
        </w:numPr>
      </w:pPr>
      <w:r>
        <w:t xml:space="preserve">MACS surveillance provides real-time data</w:t>
      </w:r>
    </w:p>
    <w:p>
      <w:pPr>
        <w:pStyle w:val="Compact"/>
        <w:numPr>
          <w:ilvl w:val="0"/>
          <w:numId w:val="1005"/>
        </w:numPr>
      </w:pPr>
      <w:r>
        <w:t xml:space="preserve">Asset class has observable inputs</w:t>
      </w:r>
    </w:p>
    <w:p>
      <w:pPr>
        <w:pStyle w:val="Compact"/>
        <w:numPr>
          <w:ilvl w:val="0"/>
          <w:numId w:val="1005"/>
        </w:numPr>
      </w:pPr>
      <w:r>
        <w:t xml:space="preserve">Shorter duration limits stale marks</w:t>
      </w:r>
    </w:p>
    <w:p>
      <w:pPr>
        <w:pStyle w:val="FirstParagraph"/>
      </w:pPr>
      <w:r>
        <w:rPr>
          <w:b/>
          <w:bCs/>
        </w:rPr>
        <w:t xml:space="preserve">Risk Assessment:</w:t>
      </w:r>
      <w:r>
        <w:t xml:space="preserve"> </w:t>
      </w:r>
      <w:r>
        <w:t xml:space="preserve">Medium. Manageable with existing infrastructure.</w:t>
      </w:r>
    </w:p>
    <w:bookmarkEnd w:id="28"/>
    <w:bookmarkStart w:id="29" w:name="b.-run-off-tracking"/>
    <w:p>
      <w:pPr>
        <w:pStyle w:val="Heading3"/>
      </w:pPr>
      <w:r>
        <w:t xml:space="preserve">B. Run-Off Tracking</w:t>
      </w:r>
    </w:p>
    <w:p>
      <w:pPr>
        <w:pStyle w:val="FirstParagraph"/>
      </w:pPr>
      <w:r>
        <w:rPr>
          <w:b/>
          <w:bCs/>
        </w:rPr>
        <w:t xml:space="preserve">Why It’s Complex:</w:t>
      </w:r>
      <w:r>
        <w:t xml:space="preserve"> </w:t>
      </w:r>
      <w:r>
        <w:t xml:space="preserve">Run-off LPs retain pro-rata interest in portfolio snapshot at election. Must track their share of each asset through realization while continuing LPs invest in new assets.</w:t>
      </w:r>
    </w:p>
    <w:p>
      <w:pPr>
        <w:pStyle w:val="BodyText"/>
      </w:pPr>
      <w:r>
        <w:rPr>
          <w:b/>
          <w:bCs/>
        </w:rPr>
        <w:t xml:space="preserve">Challenges:</w:t>
      </w:r>
    </w:p>
    <w:p>
      <w:pPr>
        <w:pStyle w:val="Compact"/>
        <w:numPr>
          <w:ilvl w:val="0"/>
          <w:numId w:val="1006"/>
        </w:numPr>
      </w:pPr>
      <w:r>
        <w:t xml:space="preserve">Portfolio snapshot at election date</w:t>
      </w:r>
    </w:p>
    <w:p>
      <w:pPr>
        <w:pStyle w:val="Compact"/>
        <w:numPr>
          <w:ilvl w:val="0"/>
          <w:numId w:val="1006"/>
        </w:numPr>
      </w:pPr>
      <w:r>
        <w:t xml:space="preserve">Position-level cash flow allocation</w:t>
      </w:r>
    </w:p>
    <w:p>
      <w:pPr>
        <w:pStyle w:val="Compact"/>
        <w:numPr>
          <w:ilvl w:val="0"/>
          <w:numId w:val="1006"/>
        </w:numPr>
      </w:pPr>
      <w:r>
        <w:t xml:space="preserve">Waterfall tracking through realization</w:t>
      </w:r>
    </w:p>
    <w:p>
      <w:pPr>
        <w:pStyle w:val="Compact"/>
        <w:numPr>
          <w:ilvl w:val="0"/>
          <w:numId w:val="1006"/>
        </w:numPr>
      </w:pPr>
      <w:r>
        <w:t xml:space="preserve">Multiple run-off cohorts over time</w:t>
      </w:r>
    </w:p>
    <w:p>
      <w:pPr>
        <w:pStyle w:val="FirstParagraph"/>
      </w:pPr>
      <w:r>
        <w:rPr>
          <w:b/>
          <w:bCs/>
        </w:rPr>
        <w:t xml:space="preserve">Mitigants:</w:t>
      </w:r>
    </w:p>
    <w:p>
      <w:pPr>
        <w:pStyle w:val="Compact"/>
        <w:numPr>
          <w:ilvl w:val="0"/>
          <w:numId w:val="1007"/>
        </w:numPr>
      </w:pPr>
      <w:r>
        <w:t xml:space="preserve">Citco has side-pocket experience</w:t>
      </w:r>
    </w:p>
    <w:p>
      <w:pPr>
        <w:pStyle w:val="Compact"/>
        <w:numPr>
          <w:ilvl w:val="0"/>
          <w:numId w:val="1007"/>
        </w:numPr>
      </w:pPr>
      <w:r>
        <w:t xml:space="preserve">Portfolio relatively concentrated (20-40 positions)</w:t>
      </w:r>
    </w:p>
    <w:p>
      <w:pPr>
        <w:pStyle w:val="Compact"/>
        <w:numPr>
          <w:ilvl w:val="0"/>
          <w:numId w:val="1007"/>
        </w:numPr>
      </w:pPr>
      <w:r>
        <w:t xml:space="preserve">Self-amortizing assets have predictable cash flows</w:t>
      </w:r>
    </w:p>
    <w:p>
      <w:pPr>
        <w:pStyle w:val="Compact"/>
        <w:numPr>
          <w:ilvl w:val="0"/>
          <w:numId w:val="1007"/>
        </w:numPr>
      </w:pPr>
      <w:r>
        <w:t xml:space="preserve">Consider simplified NAV-percentage allocation method</w:t>
      </w:r>
    </w:p>
    <w:p>
      <w:pPr>
        <w:pStyle w:val="FirstParagraph"/>
      </w:pPr>
      <w:r>
        <w:rPr>
          <w:b/>
          <w:bCs/>
        </w:rPr>
        <w:t xml:space="preserve">Risk Assessment:</w:t>
      </w:r>
      <w:r>
        <w:t xml:space="preserve"> </w:t>
      </w:r>
      <w:r>
        <w:t xml:space="preserve">Medium-High. Requires deliberate system design.</w:t>
      </w:r>
    </w:p>
    <w:p>
      <w:r>
        <w:pict>
          <v:rect style="width:0;height:1.5pt" o:hralign="center" o:hrstd="t" o:hr="t"/>
        </w:pict>
      </w:r>
    </w:p>
    <w:bookmarkEnd w:id="29"/>
    <w:bookmarkEnd w:id="30"/>
    <w:bookmarkStart w:id="33" w:name="iv.-cost-summary"/>
    <w:p>
      <w:pPr>
        <w:pStyle w:val="Heading2"/>
      </w:pPr>
      <w:r>
        <w:t xml:space="preserve">IV. Cost Summary</w:t>
      </w:r>
    </w:p>
    <w:bookmarkStart w:id="31" w:name="one-time-implementation-costs"/>
    <w:p>
      <w:pPr>
        <w:pStyle w:val="Heading3"/>
      </w:pPr>
      <w:r>
        <w:t xml:space="preserve">One-Time Implementation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w:t>
            </w:r>
          </w:p>
        </w:tc>
      </w:tr>
      <w:tr>
        <w:tc>
          <w:tcPr/>
          <w:p>
            <w:pPr>
              <w:pStyle w:val="Compact"/>
            </w:pPr>
            <w:r>
              <w:t xml:space="preserve">Legal (Sidley)</w:t>
            </w:r>
          </w:p>
        </w:tc>
        <w:tc>
          <w:tcPr/>
          <w:p>
            <w:pPr>
              <w:pStyle w:val="Compact"/>
            </w:pPr>
            <w:r>
              <w:t xml:space="preserve">$150-250K</w:t>
            </w:r>
          </w:p>
        </w:tc>
      </w:tr>
      <w:tr>
        <w:tc>
          <w:tcPr/>
          <w:p>
            <w:pPr>
              <w:pStyle w:val="Compact"/>
            </w:pPr>
            <w:r>
              <w:t xml:space="preserve">Tax Counsel</w:t>
            </w:r>
          </w:p>
        </w:tc>
        <w:tc>
          <w:tcPr/>
          <w:p>
            <w:pPr>
              <w:pStyle w:val="Compact"/>
            </w:pPr>
            <w:r>
              <w:t xml:space="preserve">$50-100K</w:t>
            </w:r>
          </w:p>
        </w:tc>
      </w:tr>
      <w:tr>
        <w:tc>
          <w:tcPr/>
          <w:p>
            <w:pPr>
              <w:pStyle w:val="Compact"/>
            </w:pPr>
            <w:r>
              <w:t xml:space="preserve">Fund Admin (Citco)</w:t>
            </w:r>
          </w:p>
        </w:tc>
        <w:tc>
          <w:tcPr/>
          <w:p>
            <w:pPr>
              <w:pStyle w:val="Compact"/>
            </w:pPr>
            <w:r>
              <w:t xml:space="preserve">$25-50K</w:t>
            </w:r>
          </w:p>
        </w:tc>
      </w:tr>
      <w:tr>
        <w:tc>
          <w:tcPr/>
          <w:p>
            <w:pPr>
              <w:pStyle w:val="Compact"/>
            </w:pPr>
            <w:r>
              <w:t xml:space="preserve">Audit (EY)</w:t>
            </w:r>
          </w:p>
        </w:tc>
        <w:tc>
          <w:tcPr/>
          <w:p>
            <w:pPr>
              <w:pStyle w:val="Compact"/>
            </w:pPr>
            <w:r>
              <w:t xml:space="preserve">$25-50K</w:t>
            </w:r>
          </w:p>
        </w:tc>
      </w:tr>
      <w:tr>
        <w:tc>
          <w:tcPr/>
          <w:p>
            <w:pPr>
              <w:pStyle w:val="Compact"/>
            </w:pPr>
            <w:r>
              <w:rPr>
                <w:b/>
                <w:bCs/>
              </w:rPr>
              <w:t xml:space="preserve">Total</w:t>
            </w:r>
          </w:p>
        </w:tc>
        <w:tc>
          <w:tcPr/>
          <w:p>
            <w:pPr>
              <w:pStyle w:val="Compact"/>
            </w:pPr>
            <w:r>
              <w:rPr>
                <w:b/>
                <w:bCs/>
              </w:rPr>
              <w:t xml:space="preserve">$250-450K</w:t>
            </w:r>
          </w:p>
        </w:tc>
      </w:tr>
    </w:tbl>
    <w:bookmarkEnd w:id="31"/>
    <w:bookmarkStart w:id="32" w:name="ongoing-annual-incremental-costs"/>
    <w:p>
      <w:pPr>
        <w:pStyle w:val="Heading3"/>
      </w:pPr>
      <w:r>
        <w:t xml:space="preserve">Ongoing Annual Incremental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w:t>
            </w:r>
          </w:p>
        </w:tc>
      </w:tr>
      <w:tr>
        <w:tc>
          <w:tcPr/>
          <w:p>
            <w:pPr>
              <w:pStyle w:val="Compact"/>
            </w:pPr>
            <w:r>
              <w:t xml:space="preserve">Legal</w:t>
            </w:r>
          </w:p>
        </w:tc>
        <w:tc>
          <w:tcPr/>
          <w:p>
            <w:pPr>
              <w:pStyle w:val="Compact"/>
            </w:pPr>
            <w:r>
              <w:t xml:space="preserve">$25-50K</w:t>
            </w:r>
          </w:p>
        </w:tc>
      </w:tr>
      <w:tr>
        <w:tc>
          <w:tcPr/>
          <w:p>
            <w:pPr>
              <w:pStyle w:val="Compact"/>
            </w:pPr>
            <w:r>
              <w:t xml:space="preserve">Fund Admin</w:t>
            </w:r>
          </w:p>
        </w:tc>
        <w:tc>
          <w:tcPr/>
          <w:p>
            <w:pPr>
              <w:pStyle w:val="Compact"/>
            </w:pPr>
            <w:r>
              <w:t xml:space="preserve">3-5 bps on AUM</w:t>
            </w:r>
          </w:p>
        </w:tc>
      </w:tr>
      <w:tr>
        <w:tc>
          <w:tcPr/>
          <w:p>
            <w:pPr>
              <w:pStyle w:val="Compact"/>
            </w:pPr>
            <w:r>
              <w:t xml:space="preserve">Audit</w:t>
            </w:r>
          </w:p>
        </w:tc>
        <w:tc>
          <w:tcPr/>
          <w:p>
            <w:pPr>
              <w:pStyle w:val="Compact"/>
            </w:pPr>
            <w:r>
              <w:t xml:space="preserve">30-50% fee increase</w:t>
            </w:r>
          </w:p>
        </w:tc>
      </w:tr>
      <w:tr>
        <w:tc>
          <w:tcPr/>
          <w:p>
            <w:pPr>
              <w:pStyle w:val="Compact"/>
            </w:pPr>
            <w:r>
              <w:t xml:space="preserve">Valuation</w:t>
            </w:r>
          </w:p>
        </w:tc>
        <w:tc>
          <w:tcPr/>
          <w:p>
            <w:pPr>
              <w:pStyle w:val="Compact"/>
            </w:pPr>
            <w:r>
              <w:t xml:space="preserve">20-40% fee increase</w:t>
            </w:r>
          </w:p>
        </w:tc>
      </w:tr>
      <w:tr>
        <w:tc>
          <w:tcPr/>
          <w:p>
            <w:pPr>
              <w:pStyle w:val="Compact"/>
            </w:pPr>
            <w:r>
              <w:rPr>
                <w:b/>
                <w:bCs/>
              </w:rPr>
              <w:t xml:space="preserve">Total</w:t>
            </w:r>
          </w:p>
        </w:tc>
        <w:tc>
          <w:tcPr/>
          <w:p>
            <w:pPr>
              <w:pStyle w:val="Compact"/>
            </w:pPr>
            <w:r>
              <w:rPr>
                <w:b/>
                <w:bCs/>
              </w:rPr>
              <w:t xml:space="preserve">~$100-200K + AUM % component</w:t>
            </w:r>
          </w:p>
        </w:tc>
      </w:tr>
    </w:tbl>
    <w:p>
      <w:r>
        <w:pict>
          <v:rect style="width:0;height:1.5pt" o:hralign="center" o:hrstd="t" o:hr="t"/>
        </w:pict>
      </w:r>
    </w:p>
    <w:bookmarkEnd w:id="32"/>
    <w:bookmarkEnd w:id="33"/>
    <w:bookmarkStart w:id="36" w:name="v.-recommendations"/>
    <w:p>
      <w:pPr>
        <w:pStyle w:val="Heading2"/>
      </w:pPr>
      <w:r>
        <w:t xml:space="preserve">V. Recommendations</w:t>
      </w:r>
    </w:p>
    <w:bookmarkStart w:id="34" w:name="must-do-before-proceeding"/>
    <w:p>
      <w:pPr>
        <w:pStyle w:val="Heading3"/>
      </w:pPr>
      <w:r>
        <w:t xml:space="preserve">Must-Do Before Proceeding</w:t>
      </w:r>
    </w:p>
    <w:p>
      <w:pPr>
        <w:pStyle w:val="Compact"/>
        <w:numPr>
          <w:ilvl w:val="0"/>
          <w:numId w:val="1008"/>
        </w:numPr>
      </w:pPr>
      <w:r>
        <w:rPr>
          <w:b/>
          <w:bCs/>
        </w:rPr>
        <w:t xml:space="preserve">Citco Capabilities:</w:t>
      </w:r>
      <w:r>
        <w:t xml:space="preserve"> </w:t>
      </w:r>
      <w:r>
        <w:t xml:space="preserve">Confirm run-off tracking and multi-cohort lock-up monitoring capability</w:t>
      </w:r>
    </w:p>
    <w:p>
      <w:pPr>
        <w:pStyle w:val="Compact"/>
        <w:numPr>
          <w:ilvl w:val="0"/>
          <w:numId w:val="1008"/>
        </w:numPr>
      </w:pPr>
      <w:r>
        <w:rPr>
          <w:b/>
          <w:bCs/>
        </w:rPr>
        <w:t xml:space="preserve">Sidley Regulatory Confirmation:</w:t>
      </w:r>
      <w:r>
        <w:t xml:space="preserve"> </w:t>
      </w:r>
      <w:r>
        <w:t xml:space="preserve">Form PF and AIFMD classification</w:t>
      </w:r>
    </w:p>
    <w:p>
      <w:pPr>
        <w:pStyle w:val="Compact"/>
        <w:numPr>
          <w:ilvl w:val="0"/>
          <w:numId w:val="1008"/>
        </w:numPr>
      </w:pPr>
      <w:r>
        <w:rPr>
          <w:b/>
          <w:bCs/>
        </w:rPr>
        <w:t xml:space="preserve">Valuation Policy:</w:t>
      </w:r>
      <w:r>
        <w:t xml:space="preserve"> </w:t>
      </w:r>
      <w:r>
        <w:t xml:space="preserve">Formalize methodology and error correction procedures</w:t>
      </w:r>
    </w:p>
    <w:bookmarkEnd w:id="34"/>
    <w:bookmarkStart w:id="35" w:name="should-do-before-launch"/>
    <w:p>
      <w:pPr>
        <w:pStyle w:val="Heading3"/>
      </w:pPr>
      <w:r>
        <w:t xml:space="preserve">Should-Do Before Launch</w:t>
      </w:r>
    </w:p>
    <w:p>
      <w:pPr>
        <w:pStyle w:val="Compact"/>
        <w:numPr>
          <w:ilvl w:val="0"/>
          <w:numId w:val="1009"/>
        </w:numPr>
      </w:pPr>
      <w:r>
        <w:rPr>
          <w:b/>
          <w:bCs/>
        </w:rPr>
        <w:t xml:space="preserve">Run-Off Methodology:</w:t>
      </w:r>
      <w:r>
        <w:t xml:space="preserve"> </w:t>
      </w:r>
      <w:r>
        <w:t xml:space="preserve">Document allocation approach; consider simplified NAV-percentage method</w:t>
      </w:r>
    </w:p>
    <w:p>
      <w:pPr>
        <w:pStyle w:val="Compact"/>
        <w:numPr>
          <w:ilvl w:val="0"/>
          <w:numId w:val="1009"/>
        </w:numPr>
      </w:pPr>
      <w:r>
        <w:rPr>
          <w:b/>
          <w:bCs/>
        </w:rPr>
        <w:t xml:space="preserve">Run-Off Disclosure:</w:t>
      </w:r>
      <w:r>
        <w:t xml:space="preserve"> </w:t>
      </w:r>
      <w:r>
        <w:t xml:space="preserve">Clear LP communication on expected timeline</w:t>
      </w:r>
    </w:p>
    <w:p>
      <w:pPr>
        <w:pStyle w:val="Compact"/>
        <w:numPr>
          <w:ilvl w:val="0"/>
          <w:numId w:val="1009"/>
        </w:numPr>
      </w:pPr>
      <w:r>
        <w:rPr>
          <w:b/>
          <w:bCs/>
        </w:rPr>
        <w:t xml:space="preserve">Staffing Assessment:</w:t>
      </w:r>
      <w:r>
        <w:t xml:space="preserve"> </w:t>
      </w:r>
      <w:r>
        <w:t xml:space="preserve">Confirm capacity for ongoing processing</w:t>
      </w:r>
    </w:p>
    <w:p>
      <w:pPr>
        <w:pStyle w:val="Compact"/>
        <w:numPr>
          <w:ilvl w:val="0"/>
          <w:numId w:val="1009"/>
        </w:numPr>
      </w:pPr>
      <w:r>
        <w:rPr>
          <w:b/>
          <w:bCs/>
        </w:rPr>
        <w:t xml:space="preserve">Cost Modeling:</w:t>
      </w:r>
      <w:r>
        <w:t xml:space="preserve"> </w:t>
      </w:r>
      <w:r>
        <w:t xml:space="preserve">Detailed economics at various AUM levels</w:t>
      </w:r>
    </w:p>
    <w:p>
      <w:r>
        <w:pict>
          <v:rect style="width:0;height:1.5pt" o:hralign="center" o:hrstd="t" o:hr="t"/>
        </w:pict>
      </w:r>
    </w:p>
    <w:bookmarkEnd w:id="35"/>
    <w:bookmarkEnd w:id="36"/>
    <w:bookmarkStart w:id="37" w:name="vi.-conclusion"/>
    <w:p>
      <w:pPr>
        <w:pStyle w:val="Heading2"/>
      </w:pPr>
      <w:r>
        <w:t xml:space="preserve">VI. Conclusion</w:t>
      </w:r>
    </w:p>
    <w:p>
      <w:pPr>
        <w:pStyle w:val="FirstParagraph"/>
      </w:pPr>
      <w:r>
        <w:t xml:space="preserve">The hybrid evergreen conversion is operationally sound and represents a trade-off, not a net increase in complexity:</w:t>
      </w:r>
    </w:p>
    <w:tbl>
      <w:tblPr>
        <w:tblStyle w:val="Table"/>
        <w:tblW w:type="pct" w:w="5000"/>
        <w:tblLayout w:type="fixed"/>
        <w:tblLook w:firstRow="1" w:lastRow="0" w:firstColumn="0" w:lastColumn="0" w:noHBand="0" w:noVBand="0" w:val="0020"/>
      </w:tblPr>
      <w:tblGrid>
        <w:gridCol w:w="4281"/>
        <w:gridCol w:w="3638"/>
      </w:tblGrid>
      <w:tr>
        <w:trPr>
          <w:tblHeader w:val="on"/>
        </w:trPr>
        <w:tc>
          <w:tcPr/>
          <w:p>
            <w:pPr>
              <w:pStyle w:val="Compact"/>
            </w:pPr>
            <w:r>
              <w:t xml:space="preserve">Drawdown</w:t>
            </w:r>
          </w:p>
        </w:tc>
        <w:tc>
          <w:tcPr/>
          <w:p>
            <w:pPr>
              <w:pStyle w:val="Compact"/>
            </w:pPr>
            <w:r>
              <w:t xml:space="preserve">Evergreen</w:t>
            </w:r>
          </w:p>
        </w:tc>
      </w:tr>
      <w:tr>
        <w:tc>
          <w:tcPr/>
          <w:p>
            <w:pPr>
              <w:pStyle w:val="Compact"/>
            </w:pPr>
            <w:r>
              <w:t xml:space="preserve">Episodic complexity (fundraising, calls, subsequent closers)</w:t>
            </w:r>
          </w:p>
        </w:tc>
        <w:tc>
          <w:tcPr/>
          <w:p>
            <w:pPr>
              <w:pStyle w:val="Compact"/>
            </w:pPr>
            <w:r>
              <w:t xml:space="preserve">Continuous complexity (NAV, subscriptions, run-off)</w:t>
            </w:r>
          </w:p>
        </w:tc>
      </w:tr>
      <w:tr>
        <w:tc>
          <w:tcPr/>
          <w:p>
            <w:pPr>
              <w:pStyle w:val="Compact"/>
            </w:pPr>
            <w:r>
              <w:t xml:space="preserve">Repeated fund formation</w:t>
            </w:r>
          </w:p>
        </w:tc>
        <w:tc>
          <w:tcPr/>
          <w:p>
            <w:pPr>
              <w:pStyle w:val="Compact"/>
            </w:pPr>
            <w:r>
              <w:t xml:space="preserve">Single vehicle in perpetuity</w:t>
            </w:r>
          </w:p>
        </w:tc>
      </w:tr>
      <w:tr>
        <w:tc>
          <w:tcPr/>
          <w:p>
            <w:pPr>
              <w:pStyle w:val="Compact"/>
            </w:pPr>
            <w:r>
              <w:t xml:space="preserve">LP default risk</w:t>
            </w:r>
          </w:p>
        </w:tc>
        <w:tc>
          <w:tcPr/>
          <w:p>
            <w:pPr>
              <w:pStyle w:val="Compact"/>
            </w:pPr>
            <w:r>
              <w:t xml:space="preserve">No unfunded commitments</w:t>
            </w:r>
          </w:p>
        </w:tc>
      </w:tr>
      <w:tr>
        <w:tc>
          <w:tcPr/>
          <w:p>
            <w:pPr>
              <w:pStyle w:val="Compact"/>
            </w:pPr>
            <w:r>
              <w:t xml:space="preserve">Cash drag</w:t>
            </w:r>
          </w:p>
        </w:tc>
        <w:tc>
          <w:tcPr/>
          <w:p>
            <w:pPr>
              <w:pStyle w:val="Compact"/>
            </w:pPr>
            <w:r>
              <w:t xml:space="preserve">Full deployment</w:t>
            </w:r>
          </w:p>
        </w:tc>
      </w:tr>
    </w:tbl>
    <w:p>
      <w:pPr>
        <w:pStyle w:val="BodyText"/>
      </w:pPr>
      <w:r>
        <w:t xml:space="preserve">The primary operational risks—</w:t>
      </w:r>
      <w:r>
        <w:rPr>
          <w:b/>
          <w:bCs/>
        </w:rPr>
        <w:t xml:space="preserve">valuation accuracy</w:t>
      </w:r>
      <w:r>
        <w:t xml:space="preserve"> </w:t>
      </w:r>
      <w:r>
        <w:t xml:space="preserve">and</w:t>
      </w:r>
      <w:r>
        <w:t xml:space="preserve"> </w:t>
      </w:r>
      <w:r>
        <w:rPr>
          <w:b/>
          <w:bCs/>
        </w:rPr>
        <w:t xml:space="preserve">run-off tracking</w:t>
      </w:r>
      <w:r>
        <w:t xml:space="preserve">—are manageable given MSC’s existing infrastructure and asset class characteristics.</w:t>
      </w:r>
    </w:p>
    <w:p>
      <w:pPr>
        <w:pStyle w:val="BodyText"/>
      </w:pPr>
      <w:r>
        <w:rPr>
          <w:b/>
          <w:bCs/>
        </w:rPr>
        <w:t xml:space="preserve">Bottom line:</w:t>
      </w:r>
      <w:r>
        <w:t xml:space="preserve"> </w:t>
      </w:r>
      <w:r>
        <w:t xml:space="preserve">One-time costs of $250-450K and ongoing incremental costs of $100-200K annually are modest relative to operational efficiencies gained over a multi-fund cycle. At $300mm+ AUM, the single-vehicle structure is clearly more efficient than successive drawdown funds.</w:t>
      </w:r>
    </w:p>
    <w:p>
      <w:r>
        <w:pict>
          <v:rect style="width:0;height:1.5pt" o:hralign="center" o:hrstd="t" o:hr="t"/>
        </w:pict>
      </w:r>
    </w:p>
    <w:bookmarkEnd w:id="37"/>
    <w:bookmarkStart w:id="38" w:name="next-steps"/>
    <w:p>
      <w:pPr>
        <w:pStyle w:val="Heading2"/>
      </w:pPr>
      <w:r>
        <w:t xml:space="preserve">Next Steps</w:t>
      </w:r>
    </w:p>
    <w:p>
      <w:pPr>
        <w:pStyle w:val="Compact"/>
        <w:numPr>
          <w:ilvl w:val="0"/>
          <w:numId w:val="1010"/>
        </w:numPr>
      </w:pPr>
      <w:r>
        <w:rPr>
          <w:b/>
          <w:bCs/>
        </w:rPr>
        <w:t xml:space="preserve">Internal Alignment:</w:t>
      </w:r>
      <w:r>
        <w:t xml:space="preserve"> </w:t>
      </w:r>
      <w:r>
        <w:t xml:space="preserve">Review and approval of terms</w:t>
      </w:r>
    </w:p>
    <w:p>
      <w:pPr>
        <w:pStyle w:val="Compact"/>
        <w:numPr>
          <w:ilvl w:val="0"/>
          <w:numId w:val="1010"/>
        </w:numPr>
      </w:pPr>
      <w:r>
        <w:rPr>
          <w:b/>
          <w:bCs/>
        </w:rPr>
        <w:t xml:space="preserve">Anchor LP Validation:</w:t>
      </w:r>
      <w:r>
        <w:t xml:space="preserve"> </w:t>
      </w:r>
      <w:r>
        <w:t xml:space="preserve">Confirm structure works for GCM</w:t>
      </w:r>
    </w:p>
    <w:p>
      <w:pPr>
        <w:pStyle w:val="Compact"/>
        <w:numPr>
          <w:ilvl w:val="0"/>
          <w:numId w:val="1010"/>
        </w:numPr>
      </w:pPr>
      <w:r>
        <w:rPr>
          <w:b/>
          <w:bCs/>
        </w:rPr>
        <w:t xml:space="preserve">Sidley Engagement:</w:t>
      </w:r>
      <w:r>
        <w:t xml:space="preserve"> </w:t>
      </w:r>
      <w:r>
        <w:t xml:space="preserve">Documentation and regulatory confirmation</w:t>
      </w:r>
    </w:p>
    <w:p>
      <w:pPr>
        <w:pStyle w:val="Compact"/>
        <w:numPr>
          <w:ilvl w:val="0"/>
          <w:numId w:val="1010"/>
        </w:numPr>
      </w:pPr>
      <w:r>
        <w:rPr>
          <w:b/>
          <w:bCs/>
        </w:rPr>
        <w:t xml:space="preserve">Citco/EY Coordination:</w:t>
      </w:r>
      <w:r>
        <w:t xml:space="preserve"> </w:t>
      </w:r>
      <w:r>
        <w:t xml:space="preserve">Operational implementation</w:t>
      </w:r>
    </w:p>
    <w:p>
      <w:pPr>
        <w:pStyle w:val="Compact"/>
        <w:numPr>
          <w:ilvl w:val="0"/>
          <w:numId w:val="1010"/>
        </w:numPr>
      </w:pPr>
      <w:r>
        <w:rPr>
          <w:b/>
          <w:bCs/>
        </w:rPr>
        <w:t xml:space="preserve">Target Launch:</w:t>
      </w:r>
      <w:r>
        <w:t xml:space="preserve"> </w:t>
      </w:r>
      <w:r>
        <w:t xml:space="preserve">Conversion effective Q1 2026</w:t>
      </w:r>
    </w:p>
    <w:p>
      <w:r>
        <w:pict>
          <v:rect style="width:0;height:1.5pt" o:hralign="center" o:hrstd="t" o:hr="t"/>
        </w:pict>
      </w:r>
    </w:p>
    <w:p>
      <w:pPr>
        <w:pStyle w:val="FirstParagraph"/>
      </w:pPr>
      <w:r>
        <w:rPr>
          <w:i/>
          <w:iCs/>
        </w:rPr>
        <w:t xml:space="preserve">This document is for internal discussion purposes only. Terms are subject to change based on legal, tax, and commercial considerations.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2025-12-18T15:39:49Z</dcterms:created>
  <dcterms:modified xsi:type="dcterms:W3CDTF">2025-12-18T15:39:49Z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ea">
    <vt:lpwstr>[MSC III Hybrid Evergreen Conversion]</vt:lpwstr>
  </property>
  <property fmtid="{D5CDD505-2E9C-101B-9397-08002B2CF9AE}" pid="3" name="Area Pillar">
    <vt:lpwstr>[[MSC]]</vt:lpwstr>
  </property>
  <property fmtid="{D5CDD505-2E9C-101B-9397-08002B2CF9AE}" pid="4" name="Project">
    <vt:lpwstr>[[Projects/Evergreen Strategy]]</vt:lpwstr>
  </property>
  <property fmtid="{D5CDD505-2E9C-101B-9397-08002B2CF9AE}" pid="5" name="categories">
    <vt:lpwstr/>
  </property>
  <property fmtid="{D5CDD505-2E9C-101B-9397-08002B2CF9AE}" pid="6" name="created">
    <vt:lpwstr>2025-12-15</vt:lpwstr>
  </property>
  <property fmtid="{D5CDD505-2E9C-101B-9397-08002B2CF9AE}" pid="7" name="org">
    <vt:lpwstr/>
  </property>
  <property fmtid="{D5CDD505-2E9C-101B-9397-08002B2CF9AE}" pid="8" name="people">
    <vt:lpwstr/>
  </property>
  <property fmtid="{D5CDD505-2E9C-101B-9397-08002B2CF9AE}" pid="9" name="tags">
    <vt:lpwstr/>
  </property>
  <property fmtid="{D5CDD505-2E9C-101B-9397-08002B2CF9AE}" pid="10" name="topics">
    <vt:lpwstr/>
  </property>
  <property fmtid="{D5CDD505-2E9C-101B-9397-08002B2CF9AE}" pid="11" name="url">
    <vt:lpwstr/>
  </property>
</Properties>
</file>