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w:t>
      </w:r>
    </w:p>
    <w:p>
      <w:pPr>
        <w:pStyle w:val="Subtitle"/>
        <w:jc w:val="center"/>
      </w:pPr>
      <w:r>
        <w:t>Giới thiệu phần mềm Quản lý CNTT</w:t>
        <w:br/>
        <w:t>và đề xuất mở rộng quản lý viễn thông cơ yếu</w:t>
      </w:r>
    </w:p>
    <w:p>
      <w:pPr>
        <w:ind w:firstLine="0"/>
        <w:jc w:val="center"/>
      </w:pPr>
      <w:r>
        <w:rPr>
          <w:b/>
        </w:rPr>
        <w:t>Kính gửi: Đồng chí Phó Cục trưởng</w:t>
      </w:r>
    </w:p>
    <w:p>
      <w:pPr>
        <w:ind w:firstLine="0"/>
        <w:jc w:val="center"/>
      </w:pPr>
      <w:r>
        <w:rPr>
          <w:b w:val="0"/>
          <w:i/>
        </w:rPr>
        <w:t>Ngày 06 tháng 10 năm 2026</w:t>
      </w:r>
    </w:p>
    <w:p>
      <w:r>
        <w:rPr>
          <w:b w:val="0"/>
        </w:rPr>
        <w:t>Phần mềm Quản lý CNTT phục vụ thu thập, tổng hợp và báo cáo dữ liệu về quản lý, phát triển, ứng dụng công nghệ thông tin trong lực lượng Công an nhân dân. Đề nghị xem xét phương án triển khai tập trung trên hệ thống mạng mật Bộ Công an và khảo sát mở rộng quản lý viễn thông, cơ yếu phù hợp với nhiệm vụ của đơn vị sau sáp nhập.</w:t>
      </w:r>
    </w:p>
    <w:p>
      <w:pPr>
        <w:pStyle w:val="Heading1"/>
      </w:pPr>
      <w:r>
        <w:t>I TỔNG QUAN VÀ PHẠM VI CHỨC NĂNG</w:t>
      </w:r>
    </w:p>
    <w:p>
      <w:r>
        <w:rPr>
          <w:b w:val="0"/>
        </w:rPr>
        <w:t>Hệ thống tổ chức dữ liệu theo đơn vị, lĩnh vực và kỳ báo cáo. Cán bộ cập nhật theo biểu mẫu; đơn vị kiểm tra, xác nhận hoặc nộp báo cáo; cơ quan quản lý theo dõi tiến độ, tra cứu và đối chiếu số liệu đã chốt. Việc dùng chung danh mục và biểu mẫu giúp giảm tổng hợp thủ công, tạo cơ sở so sánh giữa các kỳ.</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324"/>
        <w:gridCol w:w="6917"/>
      </w:tblGrid>
      <w:tr>
        <w:trPr>
          <w:cantSplit/>
          <w:tblHeader w:val="true"/>
        </w:trPr>
        <w:tc>
          <w:tcPr>
            <w:tcW w:type="dxa" w:w="2324"/>
            <w:vAlign w:val="center"/>
            <w:tcMar>
              <w:top w:w="95" w:type="dxa"/>
              <w:bottom w:w="95" w:type="dxa"/>
              <w:left w:w="95" w:type="dxa"/>
              <w:right w:w="95" w:type="dxa"/>
            </w:tcMar>
            <w:shd w:fill="EEEEEE"/>
          </w:tcPr>
          <w:p>
            <w:pPr>
              <w:spacing w:before="0" w:after="40" w:line="264" w:lineRule="auto"/>
              <w:ind w:firstLine="0"/>
              <w:jc w:val="left"/>
            </w:pPr>
            <w:r>
              <w:rPr>
                <w:b/>
                <w:sz w:val="24"/>
              </w:rPr>
              <w:t>Nhóm chức năng</w:t>
            </w:r>
          </w:p>
        </w:tc>
        <w:tc>
          <w:tcPr>
            <w:tcW w:type="dxa" w:w="6917"/>
            <w:vAlign w:val="center"/>
            <w:tcMar>
              <w:top w:w="95" w:type="dxa"/>
              <w:bottom w:w="95" w:type="dxa"/>
              <w:left w:w="95" w:type="dxa"/>
              <w:right w:w="95" w:type="dxa"/>
            </w:tcMar>
            <w:shd w:fill="EEEEEE"/>
          </w:tcPr>
          <w:p>
            <w:pPr>
              <w:spacing w:before="0" w:after="40" w:line="264" w:lineRule="auto"/>
              <w:ind w:firstLine="0"/>
              <w:jc w:val="left"/>
            </w:pPr>
            <w:r>
              <w:rPr>
                <w:b/>
                <w:sz w:val="24"/>
              </w:rPr>
              <w:t>Nội dung quản lý hiện có</w:t>
            </w:r>
          </w:p>
        </w:tc>
      </w:tr>
      <w:tr>
        <w:trPr>
          <w:cantSplit/>
        </w:trPr>
        <w:tc>
          <w:tcPr>
            <w:tcW w:type="dxa" w:w="2324"/>
            <w:vAlign w:val="center"/>
            <w:tcMar>
              <w:top w:w="95" w:type="dxa"/>
              <w:bottom w:w="95" w:type="dxa"/>
              <w:left w:w="95" w:type="dxa"/>
              <w:right w:w="95" w:type="dxa"/>
            </w:tcMar>
          </w:tcPr>
          <w:p>
            <w:pPr>
              <w:spacing w:before="0" w:after="40" w:line="264" w:lineRule="auto"/>
              <w:ind w:firstLine="0"/>
              <w:jc w:val="left"/>
            </w:pPr>
            <w:r>
              <w:rPr>
                <w:b w:val="0"/>
                <w:sz w:val="24"/>
              </w:rPr>
              <w:t>Nhân lực và đào tạo</w:t>
            </w:r>
          </w:p>
        </w:tc>
        <w:tc>
          <w:tcPr>
            <w:tcW w:type="dxa" w:w="6917"/>
            <w:vAlign w:val="center"/>
            <w:tcMar>
              <w:top w:w="95" w:type="dxa"/>
              <w:bottom w:w="95" w:type="dxa"/>
              <w:left w:w="95" w:type="dxa"/>
              <w:right w:w="95" w:type="dxa"/>
            </w:tcMar>
          </w:tcPr>
          <w:p>
            <w:pPr>
              <w:spacing w:before="0" w:after="40" w:line="264" w:lineRule="auto"/>
              <w:ind w:firstLine="0"/>
              <w:jc w:val="left"/>
            </w:pPr>
            <w:r>
              <w:rPr>
                <w:b w:val="0"/>
                <w:sz w:val="24"/>
              </w:rPr>
              <w:t>Nhân lực CNTT; đào tạo, bồi dưỡng; đào tạo tại học viện, nhà trường; năng lực số.</w:t>
            </w:r>
          </w:p>
        </w:tc>
      </w:tr>
      <w:tr>
        <w:trPr>
          <w:cantSplit/>
        </w:trPr>
        <w:tc>
          <w:tcPr>
            <w:tcW w:type="dxa" w:w="2324"/>
            <w:vAlign w:val="center"/>
            <w:tcMar>
              <w:top w:w="95" w:type="dxa"/>
              <w:bottom w:w="95" w:type="dxa"/>
              <w:left w:w="95" w:type="dxa"/>
              <w:right w:w="95" w:type="dxa"/>
            </w:tcMar>
          </w:tcPr>
          <w:p>
            <w:pPr>
              <w:spacing w:before="0" w:after="40" w:line="264" w:lineRule="auto"/>
              <w:ind w:firstLine="0"/>
              <w:jc w:val="left"/>
            </w:pPr>
            <w:r>
              <w:rPr>
                <w:b w:val="0"/>
                <w:sz w:val="24"/>
              </w:rPr>
              <w:t>Hạ tầng và ứng dụng</w:t>
            </w:r>
          </w:p>
        </w:tc>
        <w:tc>
          <w:tcPr>
            <w:tcW w:type="dxa" w:w="6917"/>
            <w:vAlign w:val="center"/>
            <w:tcMar>
              <w:top w:w="95" w:type="dxa"/>
              <w:bottom w:w="95" w:type="dxa"/>
              <w:left w:w="95" w:type="dxa"/>
              <w:right w:w="95" w:type="dxa"/>
            </w:tcMar>
          </w:tcPr>
          <w:p>
            <w:pPr>
              <w:spacing w:before="0" w:after="40" w:line="264" w:lineRule="auto"/>
              <w:ind w:firstLine="0"/>
              <w:jc w:val="left"/>
            </w:pPr>
            <w:r>
              <w:rPr>
                <w:b w:val="0"/>
                <w:sz w:val="24"/>
              </w:rPr>
              <w:t>Thiết bị CNTT; hạ tầng mạng; hệ thống thông tin, phần mềm, cơ sở dữ liệu và tiêu chuẩn kỹ thuật; dự án CNTT.</w:t>
            </w:r>
          </w:p>
        </w:tc>
      </w:tr>
      <w:tr>
        <w:trPr>
          <w:cantSplit/>
        </w:trPr>
        <w:tc>
          <w:tcPr>
            <w:tcW w:type="dxa" w:w="2324"/>
            <w:vAlign w:val="center"/>
            <w:tcMar>
              <w:top w:w="95" w:type="dxa"/>
              <w:bottom w:w="95" w:type="dxa"/>
              <w:left w:w="95" w:type="dxa"/>
              <w:right w:w="95" w:type="dxa"/>
            </w:tcMar>
          </w:tcPr>
          <w:p>
            <w:pPr>
              <w:spacing w:before="0" w:after="40" w:line="264" w:lineRule="auto"/>
              <w:ind w:firstLine="0"/>
              <w:jc w:val="left"/>
            </w:pPr>
            <w:r>
              <w:rPr>
                <w:b w:val="0"/>
                <w:sz w:val="24"/>
              </w:rPr>
              <w:t>An toàn thông tin và camera</w:t>
            </w:r>
          </w:p>
        </w:tc>
        <w:tc>
          <w:tcPr>
            <w:tcW w:type="dxa" w:w="6917"/>
            <w:vAlign w:val="center"/>
            <w:tcMar>
              <w:top w:w="95" w:type="dxa"/>
              <w:bottom w:w="95" w:type="dxa"/>
              <w:left w:w="95" w:type="dxa"/>
              <w:right w:w="95" w:type="dxa"/>
            </w:tcMar>
          </w:tcPr>
          <w:p>
            <w:pPr>
              <w:spacing w:before="0" w:after="40" w:line="264" w:lineRule="auto"/>
              <w:ind w:firstLine="0"/>
              <w:jc w:val="left"/>
            </w:pPr>
            <w:r>
              <w:rPr>
                <w:b w:val="0"/>
                <w:sz w:val="24"/>
              </w:rPr>
              <w:t>Thông tin SOC, NOC; hồ sơ an toàn hệ thống đang vận hành hoặc đầu tư; giải pháp an toàn thông tin; quản lý và thực trạng camera.</w:t>
            </w:r>
          </w:p>
        </w:tc>
      </w:tr>
      <w:tr>
        <w:trPr>
          <w:cantSplit/>
        </w:trPr>
        <w:tc>
          <w:tcPr>
            <w:tcW w:type="dxa" w:w="2324"/>
            <w:vAlign w:val="center"/>
            <w:tcMar>
              <w:top w:w="95" w:type="dxa"/>
              <w:bottom w:w="95" w:type="dxa"/>
              <w:left w:w="95" w:type="dxa"/>
              <w:right w:w="95" w:type="dxa"/>
            </w:tcMar>
          </w:tcPr>
          <w:p>
            <w:pPr>
              <w:spacing w:before="0" w:after="40" w:line="264" w:lineRule="auto"/>
              <w:ind w:firstLine="0"/>
              <w:jc w:val="left"/>
            </w:pPr>
            <w:r>
              <w:rPr>
                <w:b w:val="0"/>
                <w:sz w:val="24"/>
              </w:rPr>
              <w:t>Văn bản và báo cáo</w:t>
            </w:r>
          </w:p>
        </w:tc>
        <w:tc>
          <w:tcPr>
            <w:tcW w:type="dxa" w:w="6917"/>
            <w:vAlign w:val="center"/>
            <w:tcMar>
              <w:top w:w="95" w:type="dxa"/>
              <w:bottom w:w="95" w:type="dxa"/>
              <w:left w:w="95" w:type="dxa"/>
              <w:right w:w="95" w:type="dxa"/>
            </w:tcMar>
          </w:tcPr>
          <w:p>
            <w:pPr>
              <w:spacing w:before="0" w:after="40" w:line="264" w:lineRule="auto"/>
              <w:ind w:firstLine="0"/>
              <w:jc w:val="left"/>
            </w:pPr>
            <w:r>
              <w:rPr>
                <w:b w:val="0"/>
                <w:sz w:val="24"/>
              </w:rPr>
              <w:t>Văn bản quy phạm pháp luật; mẫu, kỳ báo cáo; tổng hợp, nộp, bổ sung; tra cứu, hiện trạng và biến động.</w:t>
            </w:r>
          </w:p>
        </w:tc>
      </w:tr>
      <w:tr>
        <w:trPr>
          <w:cantSplit/>
        </w:trPr>
        <w:tc>
          <w:tcPr>
            <w:tcW w:type="dxa" w:w="2324"/>
            <w:vAlign w:val="center"/>
            <w:tcMar>
              <w:top w:w="95" w:type="dxa"/>
              <w:bottom w:w="95" w:type="dxa"/>
              <w:left w:w="95" w:type="dxa"/>
              <w:right w:w="95" w:type="dxa"/>
            </w:tcMar>
          </w:tcPr>
          <w:p>
            <w:pPr>
              <w:spacing w:before="0" w:after="40" w:line="264" w:lineRule="auto"/>
              <w:ind w:firstLine="0"/>
              <w:jc w:val="left"/>
            </w:pPr>
            <w:r>
              <w:rPr>
                <w:b w:val="0"/>
                <w:sz w:val="24"/>
              </w:rPr>
              <w:t>Quản trị</w:t>
            </w:r>
          </w:p>
        </w:tc>
        <w:tc>
          <w:tcPr>
            <w:tcW w:type="dxa" w:w="6917"/>
            <w:vAlign w:val="center"/>
            <w:tcMar>
              <w:top w:w="95" w:type="dxa"/>
              <w:bottom w:w="95" w:type="dxa"/>
              <w:left w:w="95" w:type="dxa"/>
              <w:right w:w="95" w:type="dxa"/>
            </w:tcMar>
          </w:tcPr>
          <w:p>
            <w:pPr>
              <w:spacing w:before="0" w:after="40" w:line="264" w:lineRule="auto"/>
              <w:ind w:firstLine="0"/>
              <w:jc w:val="left"/>
            </w:pPr>
            <w:r>
              <w:rPr>
                <w:b w:val="0"/>
                <w:sz w:val="24"/>
              </w:rPr>
              <w:t>Đơn vị, danh mục, người dùng, vai trò, quyền truy cập và biến động tổ chức.</w:t>
            </w:r>
          </w:p>
        </w:tc>
      </w:tr>
    </w:tbl>
    <w:p>
      <w:pPr>
        <w:spacing w:after="0"/>
      </w:pPr>
    </w:p>
    <w:p>
      <w:r>
        <w:rPr>
          <w:b w:val="0"/>
        </w:rPr>
        <w:t>Các mục SOC, NOC và camera hiện phục vụ quản lý thông tin, thống kê theo biểu mẫu. Phạm vi này chưa thể hiện chức năng giám sát trực tiếp luồng mạng hoặc hình ảnh camera. Các phân hệ chuyên biệt về viễn thông, cơ yếu tại mục V là nội dung đề xuất phát triển.</w:t>
      </w:r>
    </w:p>
    <w:p>
      <w:pPr>
        <w:pStyle w:val="Heading1"/>
        <w:pageBreakBefore/>
      </w:pPr>
      <w:r>
        <w:t>II CẤU TRÚC VÀ PHƯƠNG ÁN TRIỂN KHAI</w:t>
      </w:r>
    </w:p>
    <w:p>
      <w:pPr>
        <w:pStyle w:val="Heading2"/>
      </w:pPr>
      <w:r>
        <w:t>1 Cấu trúc phần mềm</w:t>
      </w:r>
    </w:p>
    <w:p>
      <w:r>
        <w:rPr>
          <w:b w:val="0"/>
        </w:rPr>
        <w:t>Người dùng truy cập bằng trình duyệt. Máy chủ ứng dụng tiếp nhận yêu cầu, kiểm tra quyền và xử lý dữ liệu. Cấu trúc gồm các thành phần sau.</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324"/>
        <w:gridCol w:w="6917"/>
      </w:tblGrid>
      <w:tr>
        <w:trPr>
          <w:cantSplit/>
          <w:tblHeader w:val="true"/>
        </w:trPr>
        <w:tc>
          <w:tcPr>
            <w:tcW w:type="dxa" w:w="2324"/>
            <w:vAlign w:val="center"/>
            <w:tcMar>
              <w:top w:w="95" w:type="dxa"/>
              <w:bottom w:w="95" w:type="dxa"/>
              <w:left w:w="95" w:type="dxa"/>
              <w:right w:w="95" w:type="dxa"/>
            </w:tcMar>
            <w:shd w:fill="EEEEEE"/>
          </w:tcPr>
          <w:p>
            <w:pPr>
              <w:spacing w:before="0" w:after="40" w:line="264" w:lineRule="auto"/>
              <w:ind w:firstLine="0"/>
              <w:jc w:val="left"/>
            </w:pPr>
            <w:r>
              <w:rPr>
                <w:b/>
                <w:sz w:val="24"/>
              </w:rPr>
              <w:t>Thành phần</w:t>
            </w:r>
          </w:p>
        </w:tc>
        <w:tc>
          <w:tcPr>
            <w:tcW w:type="dxa" w:w="6917"/>
            <w:vAlign w:val="center"/>
            <w:tcMar>
              <w:top w:w="95" w:type="dxa"/>
              <w:bottom w:w="95" w:type="dxa"/>
              <w:left w:w="95" w:type="dxa"/>
              <w:right w:w="95" w:type="dxa"/>
            </w:tcMar>
            <w:shd w:fill="EEEEEE"/>
          </w:tcPr>
          <w:p>
            <w:pPr>
              <w:spacing w:before="0" w:after="40" w:line="264" w:lineRule="auto"/>
              <w:ind w:firstLine="0"/>
              <w:jc w:val="left"/>
            </w:pPr>
            <w:r>
              <w:rPr>
                <w:b/>
                <w:sz w:val="24"/>
              </w:rPr>
              <w:t>Vai trò</w:t>
            </w:r>
          </w:p>
        </w:tc>
      </w:tr>
      <w:tr>
        <w:trPr>
          <w:cantSplit/>
        </w:trPr>
        <w:tc>
          <w:tcPr>
            <w:tcW w:type="dxa" w:w="2324"/>
            <w:vAlign w:val="center"/>
            <w:tcMar>
              <w:top w:w="95" w:type="dxa"/>
              <w:bottom w:w="95" w:type="dxa"/>
              <w:left w:w="95" w:type="dxa"/>
              <w:right w:w="95" w:type="dxa"/>
            </w:tcMar>
          </w:tcPr>
          <w:p>
            <w:pPr>
              <w:spacing w:before="0" w:after="40" w:line="264" w:lineRule="auto"/>
              <w:ind w:firstLine="0"/>
              <w:jc w:val="left"/>
            </w:pPr>
            <w:r>
              <w:rPr>
                <w:b w:val="0"/>
                <w:sz w:val="24"/>
              </w:rPr>
              <w:t>Giao diện web</w:t>
            </w:r>
          </w:p>
        </w:tc>
        <w:tc>
          <w:tcPr>
            <w:tcW w:type="dxa" w:w="6917"/>
            <w:vAlign w:val="center"/>
            <w:tcMar>
              <w:top w:w="95" w:type="dxa"/>
              <w:bottom w:w="95" w:type="dxa"/>
              <w:left w:w="95" w:type="dxa"/>
              <w:right w:w="95" w:type="dxa"/>
            </w:tcMar>
          </w:tcPr>
          <w:p>
            <w:pPr>
              <w:spacing w:before="0" w:after="40" w:line="264" w:lineRule="auto"/>
              <w:ind w:firstLine="0"/>
              <w:jc w:val="left"/>
            </w:pPr>
            <w:r>
              <w:rPr>
                <w:b w:val="0"/>
                <w:sz w:val="24"/>
              </w:rPr>
              <w:t>Angular 17; hiển thị màn hình nhập liệu, tổng hợp và báo cáo.</w:t>
            </w:r>
          </w:p>
        </w:tc>
      </w:tr>
      <w:tr>
        <w:trPr>
          <w:cantSplit/>
        </w:trPr>
        <w:tc>
          <w:tcPr>
            <w:tcW w:type="dxa" w:w="2324"/>
            <w:vAlign w:val="center"/>
            <w:tcMar>
              <w:top w:w="95" w:type="dxa"/>
              <w:bottom w:w="95" w:type="dxa"/>
              <w:left w:w="95" w:type="dxa"/>
              <w:right w:w="95" w:type="dxa"/>
            </w:tcMar>
          </w:tcPr>
          <w:p>
            <w:pPr>
              <w:spacing w:before="0" w:after="40" w:line="264" w:lineRule="auto"/>
              <w:ind w:firstLine="0"/>
              <w:jc w:val="left"/>
            </w:pPr>
            <w:r>
              <w:rPr>
                <w:b w:val="0"/>
                <w:sz w:val="24"/>
              </w:rPr>
              <w:t>Máy chủ ứng dụng</w:t>
            </w:r>
          </w:p>
        </w:tc>
        <w:tc>
          <w:tcPr>
            <w:tcW w:type="dxa" w:w="6917"/>
            <w:vAlign w:val="center"/>
            <w:tcMar>
              <w:top w:w="95" w:type="dxa"/>
              <w:bottom w:w="95" w:type="dxa"/>
              <w:left w:w="95" w:type="dxa"/>
              <w:right w:w="95" w:type="dxa"/>
            </w:tcMar>
          </w:tcPr>
          <w:p>
            <w:pPr>
              <w:spacing w:before="0" w:after="40" w:line="264" w:lineRule="auto"/>
              <w:ind w:firstLine="0"/>
              <w:jc w:val="left"/>
            </w:pPr>
            <w:r>
              <w:rPr>
                <w:b w:val="0"/>
                <w:sz w:val="24"/>
              </w:rPr>
              <w:t>ASP.NET Core trên .NET 8; đăng nhập, phân quyền và xử lý nghiệp vụ.</w:t>
            </w:r>
          </w:p>
        </w:tc>
      </w:tr>
      <w:tr>
        <w:trPr>
          <w:cantSplit/>
        </w:trPr>
        <w:tc>
          <w:tcPr>
            <w:tcW w:type="dxa" w:w="2324"/>
            <w:vAlign w:val="center"/>
            <w:tcMar>
              <w:top w:w="95" w:type="dxa"/>
              <w:bottom w:w="95" w:type="dxa"/>
              <w:left w:w="95" w:type="dxa"/>
              <w:right w:w="95" w:type="dxa"/>
            </w:tcMar>
          </w:tcPr>
          <w:p>
            <w:pPr>
              <w:spacing w:before="0" w:after="40" w:line="264" w:lineRule="auto"/>
              <w:ind w:firstLine="0"/>
              <w:jc w:val="left"/>
            </w:pPr>
            <w:r>
              <w:rPr>
                <w:b w:val="0"/>
                <w:sz w:val="24"/>
              </w:rPr>
              <w:t>Cơ sở dữ liệu Oracle</w:t>
            </w:r>
          </w:p>
        </w:tc>
        <w:tc>
          <w:tcPr>
            <w:tcW w:type="dxa" w:w="6917"/>
            <w:vAlign w:val="center"/>
            <w:tcMar>
              <w:top w:w="95" w:type="dxa"/>
              <w:bottom w:w="95" w:type="dxa"/>
              <w:left w:w="95" w:type="dxa"/>
              <w:right w:w="95" w:type="dxa"/>
            </w:tcMar>
          </w:tcPr>
          <w:p>
            <w:pPr>
              <w:spacing w:before="0" w:after="40" w:line="264" w:lineRule="auto"/>
              <w:ind w:firstLine="0"/>
              <w:jc w:val="left"/>
            </w:pPr>
            <w:r>
              <w:rPr>
                <w:b w:val="0"/>
                <w:sz w:val="24"/>
              </w:rPr>
              <w:t>Lưu danh mục, số liệu nghiệp vụ, trạng thái và lịch sử báo cáo.</w:t>
            </w:r>
          </w:p>
        </w:tc>
      </w:tr>
      <w:tr>
        <w:trPr>
          <w:cantSplit/>
        </w:trPr>
        <w:tc>
          <w:tcPr>
            <w:tcW w:type="dxa" w:w="2324"/>
            <w:vAlign w:val="center"/>
            <w:tcMar>
              <w:top w:w="95" w:type="dxa"/>
              <w:bottom w:w="95" w:type="dxa"/>
              <w:left w:w="95" w:type="dxa"/>
              <w:right w:w="95" w:type="dxa"/>
            </w:tcMar>
          </w:tcPr>
          <w:p>
            <w:pPr>
              <w:spacing w:before="0" w:after="40" w:line="264" w:lineRule="auto"/>
              <w:ind w:firstLine="0"/>
              <w:jc w:val="left"/>
            </w:pPr>
            <w:r>
              <w:rPr>
                <w:b w:val="0"/>
                <w:sz w:val="24"/>
              </w:rPr>
              <w:t>MinIO và Gotenberg</w:t>
            </w:r>
          </w:p>
        </w:tc>
        <w:tc>
          <w:tcPr>
            <w:tcW w:type="dxa" w:w="6917"/>
            <w:vAlign w:val="center"/>
            <w:tcMar>
              <w:top w:w="95" w:type="dxa"/>
              <w:bottom w:w="95" w:type="dxa"/>
              <w:left w:w="95" w:type="dxa"/>
              <w:right w:w="95" w:type="dxa"/>
            </w:tcMar>
          </w:tcPr>
          <w:p>
            <w:pPr>
              <w:spacing w:before="0" w:after="40" w:line="264" w:lineRule="auto"/>
              <w:ind w:firstLine="0"/>
              <w:jc w:val="left"/>
            </w:pPr>
            <w:r>
              <w:rPr>
                <w:b w:val="0"/>
                <w:sz w:val="24"/>
              </w:rPr>
              <w:t>MinIO lưu tệp đính kèm, tệp kết quả; Gotenberg chuyển đổi phục vụ tạo PDF.</w:t>
            </w:r>
          </w:p>
        </w:tc>
      </w:tr>
      <w:tr>
        <w:trPr>
          <w:cantSplit/>
        </w:trPr>
        <w:tc>
          <w:tcPr>
            <w:tcW w:type="dxa" w:w="2324"/>
            <w:vAlign w:val="center"/>
            <w:tcMar>
              <w:top w:w="95" w:type="dxa"/>
              <w:bottom w:w="95" w:type="dxa"/>
              <w:left w:w="95" w:type="dxa"/>
              <w:right w:w="95" w:type="dxa"/>
            </w:tcMar>
          </w:tcPr>
          <w:p>
            <w:pPr>
              <w:spacing w:before="0" w:after="40" w:line="264" w:lineRule="auto"/>
              <w:ind w:firstLine="0"/>
              <w:jc w:val="left"/>
            </w:pPr>
            <w:r>
              <w:rPr>
                <w:b w:val="0"/>
                <w:sz w:val="24"/>
              </w:rPr>
              <w:t>Công cụ quản trị vận hành</w:t>
            </w:r>
          </w:p>
        </w:tc>
        <w:tc>
          <w:tcPr>
            <w:tcW w:type="dxa" w:w="6917"/>
            <w:vAlign w:val="center"/>
            <w:tcMar>
              <w:top w:w="95" w:type="dxa"/>
              <w:bottom w:w="95" w:type="dxa"/>
              <w:left w:w="95" w:type="dxa"/>
              <w:right w:w="95" w:type="dxa"/>
            </w:tcMar>
          </w:tcPr>
          <w:p>
            <w:pPr>
              <w:spacing w:before="0" w:after="40" w:line="264" w:lineRule="auto"/>
              <w:ind w:firstLine="0"/>
              <w:jc w:val="left"/>
            </w:pPr>
            <w:r>
              <w:rPr>
                <w:b w:val="0"/>
                <w:sz w:val="24"/>
              </w:rPr>
              <w:t>Ops Console phục vụ triển khai, theo dõi tác vụ, sao lưu và khôi phục; có tài khoản quản trị riêng.</w:t>
            </w:r>
          </w:p>
        </w:tc>
      </w:tr>
    </w:tbl>
    <w:p>
      <w:pPr>
        <w:spacing w:after="0"/>
      </w:pPr>
    </w:p>
    <w:p>
      <w:pPr>
        <w:pStyle w:val="Heading2"/>
      </w:pPr>
      <w:r>
        <w:t>2 Phương án trên hệ thống mạng mật Bộ Công an</w:t>
      </w:r>
    </w:p>
    <w:p>
      <w:r>
        <w:rPr>
          <w:b w:val="0"/>
        </w:rPr>
        <w:t>Đề xuất đặt các thành phần trên hạ tầng nội bộ được phép sử dụng. Máy trạm truy cập địa chỉ nội bộ của phần mềm; giao diện chuyển yêu cầu đến máy chủ ứng dụng. Chỉ máy chủ ứng dụng và các dịch vụ được cấp quyền mới kết nối đến Oracle, kho tệp và dịch vụ PDF.</w:t>
      </w:r>
    </w:p>
    <w:p>
      <w:r>
        <w:rPr>
          <w:b w:val="0"/>
        </w:rPr>
        <w:t>Tách khu vực phục vụ người dùng, ứng dụng và dữ liệu, quản trị; bố trí máy chủ hoặc máy ảo theo hạ tầng. Quy mô cần xác định từ số đơn vị, người dùng đồng thời, dung lượng tệp, yêu cầu dự phòng và thời gian khôi phục.</w:t>
      </w:r>
    </w:p>
    <w:p>
      <w:r>
        <w:rPr>
          <w:b w:val="0"/>
        </w:rPr>
        <w:t>Trước vận hành chính thức, cần thống nhất danh mục dữ liệu được phép lưu; phạm vi truy cập theo đơn vị và lĩnh vực; phương án kết nối, chứng thư và HTTPS nội bộ; sao lưu, nhật ký và thời hạn lưu trữ. Việc đưa hệ thống lên mạng mật phải thực hiện theo phương án và quy trình được cơ quan có thẩm quyền chấp thuận.</w:t>
      </w:r>
    </w:p>
    <w:p>
      <w:pPr>
        <w:pStyle w:val="Heading2"/>
      </w:pPr>
      <w:r>
        <w:t>3 Cập nhật và bảo đảm vận hành</w:t>
      </w:r>
    </w:p>
    <w:p>
      <w:r>
        <w:rPr>
          <w:b w:val="0"/>
        </w:rPr>
        <w:t>Bộ công cụ hiện có hỗ trợ đóng gói phiên bản và triển khai ngoại tuyến bằng Docker. Gói cài đặt được kiểm tra mã đối chiếu, chuyển vào môi trường triển khai theo quy trình được phép. Khi phiên bản có thay đổi cơ sở dữ liệu, quy trình triển khai thực hiện sao lưu Oracle, cập nhật cấu trúc dữ liệu rồi cập nhật ứng dụng; tác vụ dừng nếu bước sao lưu hoặc cập nhật dữ liệu thất bại.</w:t>
      </w:r>
    </w:p>
    <w:p>
      <w:r>
        <w:rPr>
          <w:b w:val="0"/>
        </w:rPr>
        <w:t>Cần sao lưu, thử khôi phục cả Oracle và kho tệp MinIO để bảo đảm dữ liệu và tệp khớp nhau. Quay lại phiên bản ứng dụng phải kiểm tra tương thích cơ sở dữ liệu và không thay thế việc khôi phục dữ liệu.</w:t>
      </w:r>
    </w:p>
    <w:p>
      <w:pPr>
        <w:pStyle w:val="Heading1"/>
        <w:pageBreakBefore/>
      </w:pPr>
      <w:r>
        <w:t>III CÁCH THỨC NHẬP LIỆU VÀ NỘP BÁO CÁO</w:t>
      </w:r>
    </w:p>
    <w:p>
      <w:pPr>
        <w:pStyle w:val="Heading2"/>
      </w:pPr>
      <w:r>
        <w:t>1 Phân công trách nhiệm</w:t>
      </w:r>
    </w:p>
    <w:p>
      <w:r>
        <w:rPr>
          <w:b w:val="0"/>
        </w:rPr>
        <w:t>Cơ quan quản lý thiết lập mẫu và kỳ báo cáo, theo dõi tiến độ, tiếp nhận kết quả và yêu cầu bổ sung. Cán bộ đơn vị nhập số liệu trong phạm vi được cấp quyền. Đơn vị đầu mối kiểm tra, tổng hợp và nộp lên cơ quan quản lý. Lãnh đạo, người xem tra cứu theo quyền được giao; quản trị viên quản lý tài khoản, tổ chức và danh mục.</w:t>
      </w:r>
    </w:p>
    <w:p>
      <w:pPr>
        <w:pStyle w:val="Heading2"/>
      </w:pPr>
      <w:r>
        <w:t>2 Hai cách tổ chức nhập liệu</w:t>
      </w:r>
    </w:p>
    <w:p>
      <w:r>
        <w:rPr>
          <w:b w:val="0"/>
        </w:rPr>
        <w:t>Tự nhập: đơn vị cập nhật và nộp dữ liệu của chính đơn vị mình. Tổng hợp: đơn vị đầu mối nhận dữ liệu từ các đơn vị cấp dưới thuộc cây tổ chức, kiểm tra rồi nộp báo cáo tổng hợp. Trong chế độ Tổng hợp, khi có đơn vị cấp dưới, báo cáo chỉ lấy dữ liệu của các đơn vị cấp dưới và không cộng dữ liệu tự nhập cũ của đơn vị đầu mối. Chế độ phải được cấu hình phù hợp trước khi triển khai kỳ báo cáo.</w:t>
      </w:r>
    </w:p>
    <w:p>
      <w:r>
        <w:rPr>
          <w:b w:val="0"/>
        </w:rPr>
        <w:t>Đơn vị cấp Phòng, xã hoặc tương đương thực hiện nhập và xác nhận hoàn tất theo phân công. Đơn vị đầu mối có quyền nộp thực hiện chốt báo cáo gửi lên cơ quan quản lý. Việc xác nhận hoàn tất dữ liệu và việc nộp báo cáo là hai thao tác khác nhau.</w:t>
      </w:r>
    </w:p>
    <w:p>
      <w:pPr>
        <w:pStyle w:val="Heading2"/>
      </w:pPr>
      <w:r>
        <w:t>3 Luồng xử lý một kỳ báo cáo</w:t>
      </w:r>
    </w:p>
    <w:p>
      <w:r>
        <w:rPr>
          <w:b w:val="0"/>
        </w:rPr>
        <w:t>Bước 1. Cơ quan quản lý chọn các phân hệ thuộc mẫu báo cáo, tạo kỳ và mở kỳ để các đơn vị thực hiện.</w:t>
      </w:r>
    </w:p>
    <w:p>
      <w:r>
        <w:rPr>
          <w:b w:val="0"/>
        </w:rPr>
        <w:t>Bước 2. Cán bộ chọn đúng kỳ, cập nhật thông tin theo từng màn hình, lưu và rà soát số liệu. Tệp đính kèm được bổ sung tại chức năng có hỗ trợ.</w:t>
      </w:r>
    </w:p>
    <w:p>
      <w:r>
        <w:rPr>
          <w:b w:val="0"/>
        </w:rPr>
        <w:t>Bước 3. Đơn vị nhập kiểm tra các mục thuộc mẫu và xác nhận hoàn tất. Đơn vị đầu mối theo dõi mức độ hoàn thành của cấp dưới, xem số liệu tổng hợp và xử lý nội dung chưa đầy đủ.</w:t>
      </w:r>
    </w:p>
    <w:p>
      <w:r>
        <w:rPr>
          <w:b w:val="0"/>
        </w:rPr>
        <w:t>Bước 4. Đơn vị có quyền nộp kiểm tra bản báo cáo và các cảnh báo trước khi xác nhận nộp. Hệ thống có cảnh báo đơn vị con chưa xác nhận; vì vậy cơ quan quản lý cần quy định rõ trường hợp được nộp khi còn thiếu xác nhận.</w:t>
      </w:r>
    </w:p>
    <w:p>
      <w:r>
        <w:rPr>
          <w:b w:val="0"/>
        </w:rPr>
        <w:t>Bước 5. Khi nộp, hệ thống lưu bản chốt dữ liệu và chỉ số của kỳ, ghi nhận phiên bản, người nộp và thời điểm nộp. Báo cáo lịch sử sử dụng dữ liệu đã chốt, bảo đảm không bị thay đổi theo số liệu đang cập nhật.</w:t>
      </w:r>
    </w:p>
    <w:p>
      <w:r>
        <w:rPr>
          <w:b w:val="0"/>
        </w:rPr>
        <w:t>Bước 6. Cơ quan quản lý theo dõi tiến độ, tra cứu, xem chi tiết và xuất báo cáo. Nếu cần sửa, thực hiện yêu cầu bổ sung hoặc mở lại theo quyền; đơn vị cập nhật rồi xác nhận, nộp lại để tạo phiên bản mới.</w:t>
      </w:r>
    </w:p>
    <w:p>
      <w:pPr>
        <w:ind w:firstLine="0"/>
      </w:pPr>
      <w:r>
        <w:rPr>
          <w:b/>
        </w:rPr>
        <w:t>Luồng tổng hợp: Cơ quan quản lý mở kỳ → Đơn vị cấp dưới nhập và xác nhận → Đơn vị đầu mối kiểm tra và nộp → Cơ quan quản lý tiếp nhận, tra cứu hoặc yêu cầu bổ sung.</w:t>
      </w:r>
    </w:p>
    <w:p>
      <w:pPr>
        <w:pStyle w:val="Heading1"/>
        <w:pageBreakBefore/>
      </w:pPr>
      <w:r>
        <w:t>IV BÁO CÁO VÀ KIỂM SOÁT DỮ LIỆU</w:t>
      </w:r>
    </w:p>
    <w:p>
      <w:pPr>
        <w:pStyle w:val="Heading2"/>
      </w:pPr>
      <w:r>
        <w:t>1 Kết quả phục vụ cơ quan quản lý và lãnh đạo</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324"/>
        <w:gridCol w:w="6917"/>
      </w:tblGrid>
      <w:tr>
        <w:trPr>
          <w:cantSplit/>
          <w:tblHeader w:val="true"/>
        </w:trPr>
        <w:tc>
          <w:tcPr>
            <w:tcW w:type="dxa" w:w="2324"/>
            <w:vAlign w:val="center"/>
            <w:tcMar>
              <w:top w:w="95" w:type="dxa"/>
              <w:bottom w:w="95" w:type="dxa"/>
              <w:left w:w="95" w:type="dxa"/>
              <w:right w:w="95" w:type="dxa"/>
            </w:tcMar>
            <w:shd w:fill="EEEEEE"/>
          </w:tcPr>
          <w:p>
            <w:pPr>
              <w:spacing w:before="0" w:after="40" w:line="264" w:lineRule="auto"/>
              <w:ind w:firstLine="0"/>
              <w:jc w:val="left"/>
            </w:pPr>
            <w:r>
              <w:rPr>
                <w:b/>
                <w:sz w:val="24"/>
              </w:rPr>
              <w:t>Chức năng</w:t>
            </w:r>
          </w:p>
        </w:tc>
        <w:tc>
          <w:tcPr>
            <w:tcW w:type="dxa" w:w="6917"/>
            <w:vAlign w:val="center"/>
            <w:tcMar>
              <w:top w:w="95" w:type="dxa"/>
              <w:bottom w:w="95" w:type="dxa"/>
              <w:left w:w="95" w:type="dxa"/>
              <w:right w:w="95" w:type="dxa"/>
            </w:tcMar>
            <w:shd w:fill="EEEEEE"/>
          </w:tcPr>
          <w:p>
            <w:pPr>
              <w:spacing w:before="0" w:after="40" w:line="264" w:lineRule="auto"/>
              <w:ind w:firstLine="0"/>
              <w:jc w:val="left"/>
            </w:pPr>
            <w:r>
              <w:rPr>
                <w:b/>
                <w:sz w:val="24"/>
              </w:rPr>
              <w:t>Thông tin phục vụ quản lý</w:t>
            </w:r>
          </w:p>
        </w:tc>
      </w:tr>
      <w:tr>
        <w:trPr>
          <w:cantSplit/>
        </w:trPr>
        <w:tc>
          <w:tcPr>
            <w:tcW w:type="dxa" w:w="2324"/>
            <w:vAlign w:val="center"/>
            <w:tcMar>
              <w:top w:w="95" w:type="dxa"/>
              <w:bottom w:w="95" w:type="dxa"/>
              <w:left w:w="95" w:type="dxa"/>
              <w:right w:w="95" w:type="dxa"/>
            </w:tcMar>
          </w:tcPr>
          <w:p>
            <w:pPr>
              <w:spacing w:before="0" w:after="40" w:line="264" w:lineRule="auto"/>
              <w:ind w:firstLine="0"/>
              <w:jc w:val="left"/>
            </w:pPr>
            <w:r>
              <w:rPr>
                <w:b w:val="0"/>
                <w:sz w:val="24"/>
              </w:rPr>
              <w:t>Tiến độ nhập và nộp</w:t>
            </w:r>
          </w:p>
        </w:tc>
        <w:tc>
          <w:tcPr>
            <w:tcW w:type="dxa" w:w="6917"/>
            <w:vAlign w:val="center"/>
            <w:tcMar>
              <w:top w:w="95" w:type="dxa"/>
              <w:bottom w:w="95" w:type="dxa"/>
              <w:left w:w="95" w:type="dxa"/>
              <w:right w:w="95" w:type="dxa"/>
            </w:tcMar>
          </w:tcPr>
          <w:p>
            <w:pPr>
              <w:spacing w:before="0" w:after="40" w:line="264" w:lineRule="auto"/>
              <w:ind w:firstLine="0"/>
              <w:jc w:val="left"/>
            </w:pPr>
            <w:r>
              <w:rPr>
                <w:b w:val="0"/>
                <w:sz w:val="24"/>
              </w:rPr>
              <w:t>Theo dõi đơn vị chưa hoàn thành, đã xác nhận, đã nộp hoặc đang bổ sung để đôn đốc theo kỳ.</w:t>
            </w:r>
          </w:p>
        </w:tc>
      </w:tr>
      <w:tr>
        <w:trPr>
          <w:cantSplit/>
        </w:trPr>
        <w:tc>
          <w:tcPr>
            <w:tcW w:type="dxa" w:w="2324"/>
            <w:vAlign w:val="center"/>
            <w:tcMar>
              <w:top w:w="95" w:type="dxa"/>
              <w:bottom w:w="95" w:type="dxa"/>
              <w:left w:w="95" w:type="dxa"/>
              <w:right w:w="95" w:type="dxa"/>
            </w:tcMar>
          </w:tcPr>
          <w:p>
            <w:pPr>
              <w:spacing w:before="0" w:after="40" w:line="264" w:lineRule="auto"/>
              <w:ind w:firstLine="0"/>
              <w:jc w:val="left"/>
            </w:pPr>
            <w:r>
              <w:rPr>
                <w:b w:val="0"/>
                <w:sz w:val="24"/>
              </w:rPr>
              <w:t>Tra cứu báo cáo</w:t>
            </w:r>
          </w:p>
        </w:tc>
        <w:tc>
          <w:tcPr>
            <w:tcW w:type="dxa" w:w="6917"/>
            <w:vAlign w:val="center"/>
            <w:tcMar>
              <w:top w:w="95" w:type="dxa"/>
              <w:bottom w:w="95" w:type="dxa"/>
              <w:left w:w="95" w:type="dxa"/>
              <w:right w:w="95" w:type="dxa"/>
            </w:tcMar>
          </w:tcPr>
          <w:p>
            <w:pPr>
              <w:spacing w:before="0" w:after="40" w:line="264" w:lineRule="auto"/>
              <w:ind w:firstLine="0"/>
              <w:jc w:val="left"/>
            </w:pPr>
            <w:r>
              <w:rPr>
                <w:b w:val="0"/>
                <w:sz w:val="24"/>
              </w:rPr>
              <w:t>Xem báo cáo đã nộp theo đơn vị, kỳ và phiên bản; mở số liệu chi tiết, tải biểu mẫu Excel và PDF theo quyền.</w:t>
            </w:r>
          </w:p>
        </w:tc>
      </w:tr>
      <w:tr>
        <w:trPr>
          <w:cantSplit/>
        </w:trPr>
        <w:tc>
          <w:tcPr>
            <w:tcW w:type="dxa" w:w="2324"/>
            <w:vAlign w:val="center"/>
            <w:tcMar>
              <w:top w:w="95" w:type="dxa"/>
              <w:bottom w:w="95" w:type="dxa"/>
              <w:left w:w="95" w:type="dxa"/>
              <w:right w:w="95" w:type="dxa"/>
            </w:tcMar>
          </w:tcPr>
          <w:p>
            <w:pPr>
              <w:spacing w:before="0" w:after="40" w:line="264" w:lineRule="auto"/>
              <w:ind w:firstLine="0"/>
              <w:jc w:val="left"/>
            </w:pPr>
            <w:r>
              <w:rPr>
                <w:b w:val="0"/>
                <w:sz w:val="24"/>
              </w:rPr>
              <w:t>Hiện trạng</w:t>
            </w:r>
          </w:p>
        </w:tc>
        <w:tc>
          <w:tcPr>
            <w:tcW w:type="dxa" w:w="6917"/>
            <w:vAlign w:val="center"/>
            <w:tcMar>
              <w:top w:w="95" w:type="dxa"/>
              <w:bottom w:w="95" w:type="dxa"/>
              <w:left w:w="95" w:type="dxa"/>
              <w:right w:w="95" w:type="dxa"/>
            </w:tcMar>
          </w:tcPr>
          <w:p>
            <w:pPr>
              <w:spacing w:before="0" w:after="40" w:line="264" w:lineRule="auto"/>
              <w:ind w:firstLine="0"/>
              <w:jc w:val="left"/>
            </w:pPr>
            <w:r>
              <w:rPr>
                <w:b w:val="0"/>
                <w:sz w:val="24"/>
              </w:rPr>
              <w:t>Xem các chỉ số đã ghi nhận từ dữ liệu chốt của kỳ được chọn, theo đơn vị và phân hệ.</w:t>
            </w:r>
          </w:p>
        </w:tc>
      </w:tr>
      <w:tr>
        <w:trPr>
          <w:cantSplit/>
        </w:trPr>
        <w:tc>
          <w:tcPr>
            <w:tcW w:type="dxa" w:w="2324"/>
            <w:vAlign w:val="center"/>
            <w:tcMar>
              <w:top w:w="95" w:type="dxa"/>
              <w:bottom w:w="95" w:type="dxa"/>
              <w:left w:w="95" w:type="dxa"/>
              <w:right w:w="95" w:type="dxa"/>
            </w:tcMar>
          </w:tcPr>
          <w:p>
            <w:pPr>
              <w:spacing w:before="0" w:after="40" w:line="264" w:lineRule="auto"/>
              <w:ind w:firstLine="0"/>
              <w:jc w:val="left"/>
            </w:pPr>
            <w:r>
              <w:rPr>
                <w:b w:val="0"/>
                <w:sz w:val="24"/>
              </w:rPr>
              <w:t>Biến động</w:t>
            </w:r>
          </w:p>
        </w:tc>
        <w:tc>
          <w:tcPr>
            <w:tcW w:type="dxa" w:w="6917"/>
            <w:vAlign w:val="center"/>
            <w:tcMar>
              <w:top w:w="95" w:type="dxa"/>
              <w:bottom w:w="95" w:type="dxa"/>
              <w:left w:w="95" w:type="dxa"/>
              <w:right w:w="95" w:type="dxa"/>
            </w:tcMar>
          </w:tcPr>
          <w:p>
            <w:pPr>
              <w:spacing w:before="0" w:after="40" w:line="264" w:lineRule="auto"/>
              <w:ind w:firstLine="0"/>
              <w:jc w:val="left"/>
            </w:pPr>
            <w:r>
              <w:rPr>
                <w:b w:val="0"/>
                <w:sz w:val="24"/>
              </w:rPr>
              <w:t>Đối chiếu hai kỳ sử dụng cùng mẫu; xem mức tăng, giảm và diễn biến chỉ số qua các kỳ có dữ liệu.</w:t>
            </w:r>
          </w:p>
        </w:tc>
      </w:tr>
    </w:tbl>
    <w:p>
      <w:pPr>
        <w:spacing w:after="0"/>
      </w:pPr>
    </w:p>
    <w:p>
      <w:r>
        <w:rPr>
          <w:b w:val="0"/>
        </w:rPr>
        <w:t>Màn hình Hiện trạng và biến động sử dụng bộ chỉ số đã chốt theo kỳ. Khi đọc kết quả phải ghi rõ đơn vị, kỳ và phạm vi dữ liệu; không hiểu “hiện trạng” là số liệu giám sát thời gian thực. Chỉ tiêu chưa có dữ liệu cần được phân biệt với giá trị bằng 0.</w:t>
      </w:r>
    </w:p>
    <w:p>
      <w:r>
        <w:rPr>
          <w:b w:val="0"/>
        </w:rPr>
        <w:t>Luồng tiếp nhận hiện tại diễn ra trong phần mềm: đơn vị nộp bản chốt, cơ quan quản lý tra cứu và yêu cầu bổ sung. Xuất Excel hoặc PDF phục vụ tổng hợp, trình ký, lưu hồ sơ theo quy trình của đơn vị. Việc liên thông sang hệ thống văn bản, ký số hoặc tự động gửi báo cáo sang phần mềm khác cần khảo sát và triển khai riêng.</w:t>
      </w:r>
    </w:p>
    <w:p>
      <w:pPr>
        <w:pStyle w:val="Heading2"/>
      </w:pPr>
      <w:r>
        <w:t>2 Chất lượng số liệu và phân quyền</w:t>
      </w:r>
    </w:p>
    <w:p>
      <w:r>
        <w:rPr>
          <w:b w:val="0"/>
        </w:rPr>
        <w:t>Mỗi đơn vị chịu trách nhiệm về số liệu nhập và xác nhận. Cần dùng thống nhất mã đơn vị, danh mục thiết bị, đơn vị tính và quy tắc tổng hợp; quy định người rà soát trước khi nộp. Phân quyền phải đồng thời phù hợp với vai trò, phạm vi đơn vị và quyền thao tác; tài khoản quản trị kỹ thuật không thay thế trách nhiệm kiểm tra nghiệp vụ.</w:t>
      </w:r>
    </w:p>
    <w:p>
      <w:pPr>
        <w:pStyle w:val="Heading2"/>
      </w:pPr>
      <w:r>
        <w:t>3 Quản lý sau sáp nhập và thay đổi tổ chức</w:t>
      </w:r>
    </w:p>
    <w:p>
      <w:r>
        <w:rPr>
          <w:b w:val="0"/>
        </w:rPr>
        <w:t>Hệ thống hỗ trợ sáp nhập, chia tách đơn vị và chuyển giao tài khoản theo quyền. Báo cáo đã nộp gắn với đơn vị, thời điểm ban đầu; đơn vị kế thừa được tra cứu lịch sử của đơn vị tiền nhiệm theo quy tắc chuyển giao.</w:t>
      </w:r>
    </w:p>
    <w:p>
      <w:r>
        <w:rPr>
          <w:b w:val="0"/>
        </w:rPr>
        <w:t>Thay đổi cây tổ chức không tự động chuyển toàn bộ dữ liệu nghiệp vụ đang nhập. Cần lập danh sách bàn giao, đối chiếu tài khoản, dữ liệu và đơn vị quản lý từng hồ sơ trước khi tiếp tục báo cáo, tránh bỏ sót hoặc cộng trùng.</w:t>
      </w:r>
    </w:p>
    <w:p>
      <w:pPr>
        <w:pStyle w:val="Heading2"/>
      </w:pPr>
      <w:r>
        <w:t>4 Điều kiện đưa vào sử dụng chính thức</w:t>
      </w:r>
    </w:p>
    <w:p>
      <w:r>
        <w:rPr>
          <w:b w:val="0"/>
        </w:rPr>
        <w:t>Cần kiểm thử đầy đủ trên môi trường dự kiến triển khai: kết nối Oracle và các dịch vụ, hai chế độ nhập liệu, chốt và nộp lại, xuất báo cáo, phân quyền, biến động tổ chức và khôi phục sao lưu. Kết quả kiểm thử, đối chiếu biểu mẫu và phương án vận hành là cơ sở để xem xét nghiệm thu, đưa vào sử dụng.</w:t>
      </w:r>
    </w:p>
    <w:p>
      <w:pPr>
        <w:pStyle w:val="Heading1"/>
        <w:pageBreakBefore/>
      </w:pPr>
      <w:r>
        <w:t>V ĐỀ XUẤT MỞ RỘNG VIỄN THÔNG VÀ CƠ YẾU</w:t>
      </w:r>
    </w:p>
    <w:p>
      <w:r>
        <w:rPr>
          <w:b w:val="0"/>
        </w:rPr>
        <w:t>Đề xuất bổ sung các phân hệ dưới đây để quản lý lĩnh vực của đơn vị mới sáp nhập. Đây là định hướng thảo luận; danh mục, trường dữ liệu và biểu mẫu chính thức cần do phòng chuyên môn xác nhận. Các phân hệ mới nên dùng chung cây đơn vị, tài khoản, kỳ báo cáo và cơ chế chốt số liệu của hệ thống.</w:t>
      </w:r>
    </w:p>
    <w:p>
      <w:pPr>
        <w:pStyle w:val="Heading2"/>
      </w:pPr>
      <w:r>
        <w:t>1 Các phân hệ viễn thông</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1899"/>
        <w:gridCol w:w="4280"/>
        <w:gridCol w:w="3061"/>
      </w:tblGrid>
      <w:tr>
        <w:trPr>
          <w:cantSplit/>
          <w:tblHeader w:val="true"/>
        </w:trPr>
        <w:tc>
          <w:tcPr>
            <w:tcW w:type="dxa" w:w="1899"/>
            <w:vAlign w:val="center"/>
            <w:tcMar>
              <w:top w:w="95" w:type="dxa"/>
              <w:bottom w:w="95" w:type="dxa"/>
              <w:left w:w="95" w:type="dxa"/>
              <w:right w:w="95" w:type="dxa"/>
            </w:tcMar>
            <w:shd w:fill="EEEEEE"/>
          </w:tcPr>
          <w:p>
            <w:pPr>
              <w:spacing w:before="0" w:after="40" w:line="264" w:lineRule="auto"/>
              <w:ind w:firstLine="0"/>
              <w:jc w:val="left"/>
            </w:pPr>
            <w:r>
              <w:rPr>
                <w:b/>
                <w:sz w:val="24"/>
              </w:rPr>
              <w:t>Phân hệ đề xuất</w:t>
            </w:r>
          </w:p>
        </w:tc>
        <w:tc>
          <w:tcPr>
            <w:tcW w:type="dxa" w:w="4280"/>
            <w:vAlign w:val="center"/>
            <w:tcMar>
              <w:top w:w="95" w:type="dxa"/>
              <w:bottom w:w="95" w:type="dxa"/>
              <w:left w:w="95" w:type="dxa"/>
              <w:right w:w="95" w:type="dxa"/>
            </w:tcMar>
            <w:shd w:fill="EEEEEE"/>
          </w:tcPr>
          <w:p>
            <w:pPr>
              <w:spacing w:before="0" w:after="40" w:line="264" w:lineRule="auto"/>
              <w:ind w:firstLine="0"/>
              <w:jc w:val="left"/>
            </w:pPr>
            <w:r>
              <w:rPr>
                <w:b/>
                <w:sz w:val="24"/>
              </w:rPr>
              <w:t>Dữ liệu chính cần khảo sát</w:t>
            </w:r>
          </w:p>
        </w:tc>
        <w:tc>
          <w:tcPr>
            <w:tcW w:type="dxa" w:w="3061"/>
            <w:vAlign w:val="center"/>
            <w:tcMar>
              <w:top w:w="95" w:type="dxa"/>
              <w:bottom w:w="95" w:type="dxa"/>
              <w:left w:w="95" w:type="dxa"/>
              <w:right w:w="95" w:type="dxa"/>
            </w:tcMar>
            <w:shd w:fill="EEEEEE"/>
          </w:tcPr>
          <w:p>
            <w:pPr>
              <w:spacing w:before="0" w:after="40" w:line="264" w:lineRule="auto"/>
              <w:ind w:firstLine="0"/>
              <w:jc w:val="left"/>
            </w:pPr>
            <w:r>
              <w:rPr>
                <w:b/>
                <w:sz w:val="24"/>
              </w:rPr>
              <w:t>Kết quả quản lý</w:t>
            </w:r>
          </w:p>
        </w:tc>
      </w:tr>
      <w:tr>
        <w:trPr>
          <w:cantSplit/>
        </w:trPr>
        <w:tc>
          <w:tcPr>
            <w:tcW w:type="dxa" w:w="1899"/>
            <w:vAlign w:val="center"/>
            <w:tcMar>
              <w:top w:w="95" w:type="dxa"/>
              <w:bottom w:w="95" w:type="dxa"/>
              <w:left w:w="95" w:type="dxa"/>
              <w:right w:w="95" w:type="dxa"/>
            </w:tcMar>
          </w:tcPr>
          <w:p>
            <w:pPr>
              <w:spacing w:before="0" w:after="40" w:line="264" w:lineRule="auto"/>
              <w:ind w:firstLine="0"/>
              <w:jc w:val="left"/>
            </w:pPr>
            <w:r>
              <w:rPr>
                <w:b w:val="0"/>
                <w:sz w:val="24"/>
              </w:rPr>
              <w:t>Đường truyền và kết nối</w:t>
            </w:r>
          </w:p>
        </w:tc>
        <w:tc>
          <w:tcPr>
            <w:tcW w:type="dxa" w:w="4280"/>
            <w:vAlign w:val="center"/>
            <w:tcMar>
              <w:top w:w="95" w:type="dxa"/>
              <w:bottom w:w="95" w:type="dxa"/>
              <w:left w:w="95" w:type="dxa"/>
              <w:right w:w="95" w:type="dxa"/>
            </w:tcMar>
          </w:tcPr>
          <w:p>
            <w:pPr>
              <w:spacing w:before="0" w:after="40" w:line="264" w:lineRule="auto"/>
              <w:ind w:firstLine="0"/>
              <w:jc w:val="left"/>
            </w:pPr>
            <w:r>
              <w:rPr>
                <w:b w:val="0"/>
                <w:sz w:val="24"/>
              </w:rPr>
              <w:t>Mã tuyến; đơn vị sử dụng; điểm đầu, cuối; loại kết nối; băng thông; dự phòng; trạng thái khai thác.</w:t>
            </w:r>
          </w:p>
        </w:tc>
        <w:tc>
          <w:tcPr>
            <w:tcW w:type="dxa" w:w="3061"/>
            <w:vAlign w:val="center"/>
            <w:tcMar>
              <w:top w:w="95" w:type="dxa"/>
              <w:bottom w:w="95" w:type="dxa"/>
              <w:left w:w="95" w:type="dxa"/>
              <w:right w:w="95" w:type="dxa"/>
            </w:tcMar>
          </w:tcPr>
          <w:p>
            <w:pPr>
              <w:spacing w:before="0" w:after="40" w:line="264" w:lineRule="auto"/>
              <w:ind w:firstLine="0"/>
              <w:jc w:val="left"/>
            </w:pPr>
            <w:r>
              <w:rPr>
                <w:b w:val="0"/>
                <w:sz w:val="24"/>
              </w:rPr>
              <w:t>Thống kê kết nối, năng lực đường truyền, điểm thiếu kết nối hoặc chưa có dự phòng.</w:t>
            </w:r>
          </w:p>
        </w:tc>
      </w:tr>
      <w:tr>
        <w:trPr>
          <w:cantSplit/>
        </w:trPr>
        <w:tc>
          <w:tcPr>
            <w:tcW w:type="dxa" w:w="1899"/>
            <w:vAlign w:val="center"/>
            <w:tcMar>
              <w:top w:w="95" w:type="dxa"/>
              <w:bottom w:w="95" w:type="dxa"/>
              <w:left w:w="95" w:type="dxa"/>
              <w:right w:w="95" w:type="dxa"/>
            </w:tcMar>
          </w:tcPr>
          <w:p>
            <w:pPr>
              <w:spacing w:before="0" w:after="40" w:line="264" w:lineRule="auto"/>
              <w:ind w:firstLine="0"/>
              <w:jc w:val="left"/>
            </w:pPr>
            <w:r>
              <w:rPr>
                <w:b w:val="0"/>
                <w:sz w:val="24"/>
              </w:rPr>
              <w:t>Thiết bị viễn thông</w:t>
            </w:r>
          </w:p>
        </w:tc>
        <w:tc>
          <w:tcPr>
            <w:tcW w:type="dxa" w:w="4280"/>
            <w:vAlign w:val="center"/>
            <w:tcMar>
              <w:top w:w="95" w:type="dxa"/>
              <w:bottom w:w="95" w:type="dxa"/>
              <w:left w:w="95" w:type="dxa"/>
              <w:right w:w="95" w:type="dxa"/>
            </w:tcMar>
          </w:tcPr>
          <w:p>
            <w:pPr>
              <w:spacing w:before="0" w:after="40" w:line="264" w:lineRule="auto"/>
              <w:ind w:firstLine="0"/>
              <w:jc w:val="left"/>
            </w:pPr>
            <w:r>
              <w:rPr>
                <w:b w:val="0"/>
                <w:sz w:val="24"/>
              </w:rPr>
              <w:t>Loại, mã thiết bị; đơn vị và vị trí quản lý; tình trạng sử dụng; thời điểm trang bị; hạn bảo hành.</w:t>
            </w:r>
          </w:p>
        </w:tc>
        <w:tc>
          <w:tcPr>
            <w:tcW w:type="dxa" w:w="3061"/>
            <w:vAlign w:val="center"/>
            <w:tcMar>
              <w:top w:w="95" w:type="dxa"/>
              <w:bottom w:w="95" w:type="dxa"/>
              <w:left w:w="95" w:type="dxa"/>
              <w:right w:w="95" w:type="dxa"/>
            </w:tcMar>
          </w:tcPr>
          <w:p>
            <w:pPr>
              <w:spacing w:before="0" w:after="40" w:line="264" w:lineRule="auto"/>
              <w:ind w:firstLine="0"/>
              <w:jc w:val="left"/>
            </w:pPr>
            <w:r>
              <w:rPr>
                <w:b w:val="0"/>
                <w:sz w:val="24"/>
              </w:rPr>
              <w:t>Theo dõi thiết bị đang dùng, dự phòng, hỏng; nhu cầu sửa chữa và thay thế.</w:t>
            </w:r>
          </w:p>
        </w:tc>
      </w:tr>
      <w:tr>
        <w:trPr>
          <w:cantSplit/>
        </w:trPr>
        <w:tc>
          <w:tcPr>
            <w:tcW w:type="dxa" w:w="1899"/>
            <w:vAlign w:val="center"/>
            <w:tcMar>
              <w:top w:w="95" w:type="dxa"/>
              <w:bottom w:w="95" w:type="dxa"/>
              <w:left w:w="95" w:type="dxa"/>
              <w:right w:w="95" w:type="dxa"/>
            </w:tcMar>
          </w:tcPr>
          <w:p>
            <w:pPr>
              <w:spacing w:before="0" w:after="40" w:line="264" w:lineRule="auto"/>
              <w:ind w:firstLine="0"/>
              <w:jc w:val="left"/>
            </w:pPr>
            <w:r>
              <w:rPr>
                <w:b w:val="0"/>
                <w:sz w:val="24"/>
              </w:rPr>
              <w:t>Dịch vụ và hợp đồng</w:t>
            </w:r>
          </w:p>
        </w:tc>
        <w:tc>
          <w:tcPr>
            <w:tcW w:type="dxa" w:w="4280"/>
            <w:vAlign w:val="center"/>
            <w:tcMar>
              <w:top w:w="95" w:type="dxa"/>
              <w:bottom w:w="95" w:type="dxa"/>
              <w:left w:w="95" w:type="dxa"/>
              <w:right w:w="95" w:type="dxa"/>
            </w:tcMar>
          </w:tcPr>
          <w:p>
            <w:pPr>
              <w:spacing w:before="0" w:after="40" w:line="264" w:lineRule="auto"/>
              <w:ind w:firstLine="0"/>
              <w:jc w:val="left"/>
            </w:pPr>
            <w:r>
              <w:rPr>
                <w:b w:val="0"/>
                <w:sz w:val="24"/>
              </w:rPr>
              <w:t>Nhà cung cấp; dịch vụ, đường truyền liên quan; thời hạn; đầu mối; giá trị, chi phí theo phạm vi được phép.</w:t>
            </w:r>
          </w:p>
        </w:tc>
        <w:tc>
          <w:tcPr>
            <w:tcW w:type="dxa" w:w="3061"/>
            <w:vAlign w:val="center"/>
            <w:tcMar>
              <w:top w:w="95" w:type="dxa"/>
              <w:bottom w:w="95" w:type="dxa"/>
              <w:left w:w="95" w:type="dxa"/>
              <w:right w:w="95" w:type="dxa"/>
            </w:tcMar>
          </w:tcPr>
          <w:p>
            <w:pPr>
              <w:spacing w:before="0" w:after="40" w:line="264" w:lineRule="auto"/>
              <w:ind w:firstLine="0"/>
              <w:jc w:val="left"/>
            </w:pPr>
            <w:r>
              <w:rPr>
                <w:b w:val="0"/>
                <w:sz w:val="24"/>
              </w:rPr>
              <w:t>Theo dõi dịch vụ còn hiệu lực, sắp hết hạn; tổng hợp nhu cầu gia hạn và chi phí.</w:t>
            </w:r>
          </w:p>
        </w:tc>
      </w:tr>
      <w:tr>
        <w:trPr>
          <w:cantSplit/>
        </w:trPr>
        <w:tc>
          <w:tcPr>
            <w:tcW w:type="dxa" w:w="1899"/>
            <w:vAlign w:val="center"/>
            <w:tcMar>
              <w:top w:w="95" w:type="dxa"/>
              <w:bottom w:w="95" w:type="dxa"/>
              <w:left w:w="95" w:type="dxa"/>
              <w:right w:w="95" w:type="dxa"/>
            </w:tcMar>
          </w:tcPr>
          <w:p>
            <w:pPr>
              <w:spacing w:before="0" w:after="40" w:line="264" w:lineRule="auto"/>
              <w:ind w:firstLine="0"/>
              <w:jc w:val="left"/>
            </w:pPr>
            <w:r>
              <w:rPr>
                <w:b w:val="0"/>
                <w:sz w:val="24"/>
              </w:rPr>
              <w:t>Sự cố và bảo trì</w:t>
            </w:r>
          </w:p>
        </w:tc>
        <w:tc>
          <w:tcPr>
            <w:tcW w:type="dxa" w:w="4280"/>
            <w:vAlign w:val="center"/>
            <w:tcMar>
              <w:top w:w="95" w:type="dxa"/>
              <w:bottom w:w="95" w:type="dxa"/>
              <w:left w:w="95" w:type="dxa"/>
              <w:right w:w="95" w:type="dxa"/>
            </w:tcMar>
          </w:tcPr>
          <w:p>
            <w:pPr>
              <w:spacing w:before="0" w:after="40" w:line="264" w:lineRule="auto"/>
              <w:ind w:firstLine="0"/>
              <w:jc w:val="left"/>
            </w:pPr>
            <w:r>
              <w:rPr>
                <w:b w:val="0"/>
                <w:sz w:val="24"/>
              </w:rPr>
              <w:t>Tuyến hoặc thiết bị liên quan; thời điểm; ảnh hưởng; đơn vị xử lý; kết quả; lịch bảo trì.</w:t>
            </w:r>
          </w:p>
        </w:tc>
        <w:tc>
          <w:tcPr>
            <w:tcW w:type="dxa" w:w="3061"/>
            <w:vAlign w:val="center"/>
            <w:tcMar>
              <w:top w:w="95" w:type="dxa"/>
              <w:bottom w:w="95" w:type="dxa"/>
              <w:left w:w="95" w:type="dxa"/>
              <w:right w:w="95" w:type="dxa"/>
            </w:tcMar>
          </w:tcPr>
          <w:p>
            <w:pPr>
              <w:spacing w:before="0" w:after="40" w:line="264" w:lineRule="auto"/>
              <w:ind w:firstLine="0"/>
              <w:jc w:val="left"/>
            </w:pPr>
            <w:r>
              <w:rPr>
                <w:b w:val="0"/>
                <w:sz w:val="24"/>
              </w:rPr>
              <w:t>Theo dõi sự cố chưa xử lý, thời gian gián đoạn và việc thực hiện bảo trì.</w:t>
            </w:r>
          </w:p>
        </w:tc>
      </w:tr>
    </w:tbl>
    <w:p>
      <w:pPr>
        <w:spacing w:after="0"/>
      </w:pPr>
    </w:p>
    <w:p>
      <w:pPr>
        <w:pStyle w:val="Heading2"/>
      </w:pPr>
      <w:r>
        <w:t>Ưu tiên và cách dùng chung dữ liệu</w:t>
      </w:r>
    </w:p>
    <w:p>
      <w:r>
        <w:rPr>
          <w:b w:val="0"/>
        </w:rPr>
        <w:t>Ưu tiên xây dựng danh mục đường truyền, kết nối và thiết bị viễn thông để xác định phạm vi quản lý. Sau khi thống nhất mã đối tượng, bổ sung hợp đồng, sự cố và bảo trì gắn với từng tuyến hoặc thiết bị.</w:t>
      </w:r>
    </w:p>
    <w:p>
      <w:r>
        <w:rPr>
          <w:b w:val="0"/>
        </w:rPr>
        <w:t>Phân hệ hạ tầng mạng hiện đã có số liệu tổng hợp về kết nối. Phần đề xuất viễn thông cần bổ sung hồ sơ chi tiết và quan hệ giữa tuyến, thiết bị, dịch vụ; thống nhất cách lấy số tổng hợp để không yêu cầu nhập lặp cùng một số liệu ở hai phân hệ.</w:t>
      </w:r>
    </w:p>
    <w:p>
      <w:r>
        <w:rPr>
          <w:b w:val="0"/>
        </w:rPr>
        <w:t>Các thông tin kỹ thuật chi tiết về tuyến, vị trí và kết nối chỉ đưa vào trường dữ liệu, báo cáo khi đã xác định phạm vi được phép lưu trữ và người được quyền xem.</w:t>
      </w:r>
    </w:p>
    <w:p>
      <w:pPr>
        <w:pStyle w:val="Heading2"/>
        <w:pageBreakBefore/>
      </w:pPr>
      <w:r>
        <w:t>2 Các phân hệ cơ yếu</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1899"/>
        <w:gridCol w:w="4280"/>
        <w:gridCol w:w="3061"/>
      </w:tblGrid>
      <w:tr>
        <w:trPr>
          <w:cantSplit/>
          <w:tblHeader w:val="true"/>
        </w:trPr>
        <w:tc>
          <w:tcPr>
            <w:tcW w:type="dxa" w:w="1899"/>
            <w:vAlign w:val="center"/>
            <w:tcMar>
              <w:top w:w="95" w:type="dxa"/>
              <w:bottom w:w="95" w:type="dxa"/>
              <w:left w:w="95" w:type="dxa"/>
              <w:right w:w="95" w:type="dxa"/>
            </w:tcMar>
            <w:shd w:fill="EEEEEE"/>
          </w:tcPr>
          <w:p>
            <w:pPr>
              <w:spacing w:before="0" w:after="40" w:line="264" w:lineRule="auto"/>
              <w:ind w:firstLine="0"/>
              <w:jc w:val="left"/>
            </w:pPr>
            <w:r>
              <w:rPr>
                <w:b/>
                <w:sz w:val="24"/>
              </w:rPr>
              <w:t>Phân hệ đề xuất</w:t>
            </w:r>
          </w:p>
        </w:tc>
        <w:tc>
          <w:tcPr>
            <w:tcW w:type="dxa" w:w="4280"/>
            <w:vAlign w:val="center"/>
            <w:tcMar>
              <w:top w:w="95" w:type="dxa"/>
              <w:bottom w:w="95" w:type="dxa"/>
              <w:left w:w="95" w:type="dxa"/>
              <w:right w:w="95" w:type="dxa"/>
            </w:tcMar>
            <w:shd w:fill="EEEEEE"/>
          </w:tcPr>
          <w:p>
            <w:pPr>
              <w:spacing w:before="0" w:after="40" w:line="264" w:lineRule="auto"/>
              <w:ind w:firstLine="0"/>
              <w:jc w:val="left"/>
            </w:pPr>
            <w:r>
              <w:rPr>
                <w:b/>
                <w:sz w:val="24"/>
              </w:rPr>
              <w:t>Dữ liệu chính cần khảo sát</w:t>
            </w:r>
          </w:p>
        </w:tc>
        <w:tc>
          <w:tcPr>
            <w:tcW w:type="dxa" w:w="3061"/>
            <w:vAlign w:val="center"/>
            <w:tcMar>
              <w:top w:w="95" w:type="dxa"/>
              <w:bottom w:w="95" w:type="dxa"/>
              <w:left w:w="95" w:type="dxa"/>
              <w:right w:w="95" w:type="dxa"/>
            </w:tcMar>
            <w:shd w:fill="EEEEEE"/>
          </w:tcPr>
          <w:p>
            <w:pPr>
              <w:spacing w:before="0" w:after="40" w:line="264" w:lineRule="auto"/>
              <w:ind w:firstLine="0"/>
              <w:jc w:val="left"/>
            </w:pPr>
            <w:r>
              <w:rPr>
                <w:b/>
                <w:sz w:val="24"/>
              </w:rPr>
              <w:t>Kết quả quản lý</w:t>
            </w:r>
          </w:p>
        </w:tc>
      </w:tr>
      <w:tr>
        <w:trPr>
          <w:cantSplit/>
        </w:trPr>
        <w:tc>
          <w:tcPr>
            <w:tcW w:type="dxa" w:w="1899"/>
            <w:vAlign w:val="center"/>
            <w:tcMar>
              <w:top w:w="95" w:type="dxa"/>
              <w:bottom w:w="95" w:type="dxa"/>
              <w:left w:w="95" w:type="dxa"/>
              <w:right w:w="95" w:type="dxa"/>
            </w:tcMar>
          </w:tcPr>
          <w:p>
            <w:pPr>
              <w:spacing w:before="0" w:after="40" w:line="264" w:lineRule="auto"/>
              <w:ind w:firstLine="0"/>
              <w:jc w:val="left"/>
            </w:pPr>
            <w:r>
              <w:rPr>
                <w:b w:val="0"/>
                <w:sz w:val="24"/>
              </w:rPr>
              <w:t>Nhân lực và bồi dưỡng</w:t>
            </w:r>
          </w:p>
        </w:tc>
        <w:tc>
          <w:tcPr>
            <w:tcW w:type="dxa" w:w="4280"/>
            <w:vAlign w:val="center"/>
            <w:tcMar>
              <w:top w:w="95" w:type="dxa"/>
              <w:bottom w:w="95" w:type="dxa"/>
              <w:left w:w="95" w:type="dxa"/>
              <w:right w:w="95" w:type="dxa"/>
            </w:tcMar>
          </w:tcPr>
          <w:p>
            <w:pPr>
              <w:spacing w:before="0" w:after="40" w:line="264" w:lineRule="auto"/>
              <w:ind w:firstLine="0"/>
              <w:jc w:val="left"/>
            </w:pPr>
            <w:r>
              <w:rPr>
                <w:b w:val="0"/>
                <w:sz w:val="24"/>
              </w:rPr>
              <w:t>Đơn vị; vị trí công tác; chuyên trách hoặc kiêm nhiệm; trình độ; khóa bồi dưỡng; nhu cầu đào tạo.</w:t>
            </w:r>
          </w:p>
        </w:tc>
        <w:tc>
          <w:tcPr>
            <w:tcW w:type="dxa" w:w="3061"/>
            <w:vAlign w:val="center"/>
            <w:tcMar>
              <w:top w:w="95" w:type="dxa"/>
              <w:bottom w:w="95" w:type="dxa"/>
              <w:left w:w="95" w:type="dxa"/>
              <w:right w:w="95" w:type="dxa"/>
            </w:tcMar>
          </w:tcPr>
          <w:p>
            <w:pPr>
              <w:spacing w:before="0" w:after="40" w:line="264" w:lineRule="auto"/>
              <w:ind w:firstLine="0"/>
              <w:jc w:val="left"/>
            </w:pPr>
            <w:r>
              <w:rPr>
                <w:b w:val="0"/>
                <w:sz w:val="24"/>
              </w:rPr>
              <w:t>Nắm lực lượng, bố trí cán bộ và nhu cầu bồi dưỡng theo đơn vị.</w:t>
            </w:r>
          </w:p>
        </w:tc>
      </w:tr>
      <w:tr>
        <w:trPr>
          <w:cantSplit/>
        </w:trPr>
        <w:tc>
          <w:tcPr>
            <w:tcW w:type="dxa" w:w="1899"/>
            <w:vAlign w:val="center"/>
            <w:tcMar>
              <w:top w:w="95" w:type="dxa"/>
              <w:bottom w:w="95" w:type="dxa"/>
              <w:left w:w="95" w:type="dxa"/>
              <w:right w:w="95" w:type="dxa"/>
            </w:tcMar>
          </w:tcPr>
          <w:p>
            <w:pPr>
              <w:spacing w:before="0" w:after="40" w:line="264" w:lineRule="auto"/>
              <w:ind w:firstLine="0"/>
              <w:jc w:val="left"/>
            </w:pPr>
            <w:r>
              <w:rPr>
                <w:b w:val="0"/>
                <w:sz w:val="24"/>
              </w:rPr>
              <w:t>Trang bị và vật tư</w:t>
            </w:r>
          </w:p>
        </w:tc>
        <w:tc>
          <w:tcPr>
            <w:tcW w:type="dxa" w:w="4280"/>
            <w:vAlign w:val="center"/>
            <w:tcMar>
              <w:top w:w="95" w:type="dxa"/>
              <w:bottom w:w="95" w:type="dxa"/>
              <w:left w:w="95" w:type="dxa"/>
              <w:right w:w="95" w:type="dxa"/>
            </w:tcMar>
          </w:tcPr>
          <w:p>
            <w:pPr>
              <w:spacing w:before="0" w:after="40" w:line="264" w:lineRule="auto"/>
              <w:ind w:firstLine="0"/>
              <w:jc w:val="left"/>
            </w:pPr>
            <w:r>
              <w:rPr>
                <w:b w:val="0"/>
                <w:sz w:val="24"/>
              </w:rPr>
              <w:t>Mã quản lý; loại trang bị, vật tư; số lượng; đơn vị quản lý; tình trạng; thời điểm cấp và bảo dưỡng.</w:t>
            </w:r>
          </w:p>
        </w:tc>
        <w:tc>
          <w:tcPr>
            <w:tcW w:type="dxa" w:w="3061"/>
            <w:vAlign w:val="center"/>
            <w:tcMar>
              <w:top w:w="95" w:type="dxa"/>
              <w:bottom w:w="95" w:type="dxa"/>
              <w:left w:w="95" w:type="dxa"/>
              <w:right w:w="95" w:type="dxa"/>
            </w:tcMar>
          </w:tcPr>
          <w:p>
            <w:pPr>
              <w:spacing w:before="0" w:after="40" w:line="264" w:lineRule="auto"/>
              <w:ind w:firstLine="0"/>
              <w:jc w:val="left"/>
            </w:pPr>
            <w:r>
              <w:rPr>
                <w:b w:val="0"/>
                <w:sz w:val="24"/>
              </w:rPr>
              <w:t>Theo dõi thực lực, tồn kho, thiết bị đang dùng, dự phòng hoặc cần xử lý.</w:t>
            </w:r>
          </w:p>
        </w:tc>
      </w:tr>
      <w:tr>
        <w:trPr>
          <w:cantSplit/>
        </w:trPr>
        <w:tc>
          <w:tcPr>
            <w:tcW w:type="dxa" w:w="1899"/>
            <w:vAlign w:val="center"/>
            <w:tcMar>
              <w:top w:w="95" w:type="dxa"/>
              <w:bottom w:w="95" w:type="dxa"/>
              <w:left w:w="95" w:type="dxa"/>
              <w:right w:w="95" w:type="dxa"/>
            </w:tcMar>
          </w:tcPr>
          <w:p>
            <w:pPr>
              <w:spacing w:before="0" w:after="40" w:line="264" w:lineRule="auto"/>
              <w:ind w:firstLine="0"/>
              <w:jc w:val="left"/>
            </w:pPr>
            <w:r>
              <w:rPr>
                <w:b w:val="0"/>
                <w:sz w:val="24"/>
              </w:rPr>
              <w:t>Cấp phát và bàn giao</w:t>
            </w:r>
          </w:p>
        </w:tc>
        <w:tc>
          <w:tcPr>
            <w:tcW w:type="dxa" w:w="4280"/>
            <w:vAlign w:val="center"/>
            <w:tcMar>
              <w:top w:w="95" w:type="dxa"/>
              <w:bottom w:w="95" w:type="dxa"/>
              <w:left w:w="95" w:type="dxa"/>
              <w:right w:w="95" w:type="dxa"/>
            </w:tcMar>
          </w:tcPr>
          <w:p>
            <w:pPr>
              <w:spacing w:before="0" w:after="40" w:line="264" w:lineRule="auto"/>
              <w:ind w:firstLine="0"/>
              <w:jc w:val="left"/>
            </w:pPr>
            <w:r>
              <w:rPr>
                <w:b w:val="0"/>
                <w:sz w:val="24"/>
              </w:rPr>
              <w:t>Đối tượng, số lượng giao nhận; đơn vị giao và nhận; thời điểm; căn cứ; trạng thái cấp phát, thu hồi hoặc kiểm kê.</w:t>
            </w:r>
          </w:p>
        </w:tc>
        <w:tc>
          <w:tcPr>
            <w:tcW w:type="dxa" w:w="3061"/>
            <w:vAlign w:val="center"/>
            <w:tcMar>
              <w:top w:w="95" w:type="dxa"/>
              <w:bottom w:w="95" w:type="dxa"/>
              <w:left w:w="95" w:type="dxa"/>
              <w:right w:w="95" w:type="dxa"/>
            </w:tcMar>
          </w:tcPr>
          <w:p>
            <w:pPr>
              <w:spacing w:before="0" w:after="40" w:line="264" w:lineRule="auto"/>
              <w:ind w:firstLine="0"/>
              <w:jc w:val="left"/>
            </w:pPr>
            <w:r>
              <w:rPr>
                <w:b w:val="0"/>
                <w:sz w:val="24"/>
              </w:rPr>
              <w:t>Theo dõi vòng đời quản lý, trách nhiệm giữ và sử dụng; đối chiếu tăng giảm qua bàn giao.</w:t>
            </w:r>
          </w:p>
        </w:tc>
      </w:tr>
      <w:tr>
        <w:trPr>
          <w:cantSplit/>
        </w:trPr>
        <w:tc>
          <w:tcPr>
            <w:tcW w:type="dxa" w:w="1899"/>
            <w:vAlign w:val="center"/>
            <w:tcMar>
              <w:top w:w="95" w:type="dxa"/>
              <w:bottom w:w="95" w:type="dxa"/>
              <w:left w:w="95" w:type="dxa"/>
              <w:right w:w="95" w:type="dxa"/>
            </w:tcMar>
          </w:tcPr>
          <w:p>
            <w:pPr>
              <w:spacing w:before="0" w:after="40" w:line="264" w:lineRule="auto"/>
              <w:ind w:firstLine="0"/>
              <w:jc w:val="left"/>
            </w:pPr>
            <w:r>
              <w:rPr>
                <w:b w:val="0"/>
                <w:sz w:val="24"/>
              </w:rPr>
              <w:t>Hồ sơ chứng thư số</w:t>
            </w:r>
          </w:p>
        </w:tc>
        <w:tc>
          <w:tcPr>
            <w:tcW w:type="dxa" w:w="4280"/>
            <w:vAlign w:val="center"/>
            <w:tcMar>
              <w:top w:w="95" w:type="dxa"/>
              <w:bottom w:w="95" w:type="dxa"/>
              <w:left w:w="95" w:type="dxa"/>
              <w:right w:w="95" w:type="dxa"/>
            </w:tcMar>
          </w:tcPr>
          <w:p>
            <w:pPr>
              <w:spacing w:before="0" w:after="40" w:line="264" w:lineRule="auto"/>
              <w:ind w:firstLine="0"/>
              <w:jc w:val="left"/>
            </w:pPr>
            <w:r>
              <w:rPr>
                <w:b w:val="0"/>
                <w:sz w:val="24"/>
              </w:rPr>
              <w:t>Thông tin quản lý chứng thư; đơn vị hoặc người được cấp; thời hạn; cấp mới, gia hạn, thu hồi; đầu mối xử lý.</w:t>
            </w:r>
          </w:p>
        </w:tc>
        <w:tc>
          <w:tcPr>
            <w:tcW w:type="dxa" w:w="3061"/>
            <w:vAlign w:val="center"/>
            <w:tcMar>
              <w:top w:w="95" w:type="dxa"/>
              <w:bottom w:w="95" w:type="dxa"/>
              <w:left w:w="95" w:type="dxa"/>
              <w:right w:w="95" w:type="dxa"/>
            </w:tcMar>
          </w:tcPr>
          <w:p>
            <w:pPr>
              <w:spacing w:before="0" w:after="40" w:line="264" w:lineRule="auto"/>
              <w:ind w:firstLine="0"/>
              <w:jc w:val="left"/>
            </w:pPr>
            <w:r>
              <w:rPr>
                <w:b w:val="0"/>
                <w:sz w:val="24"/>
              </w:rPr>
              <w:t>Theo dõi chứng thư còn hiệu lực, sắp hết hạn và hồ sơ cần xử lý; chỉ triển khai nếu thuộc nhiệm vụ được giao.</w:t>
            </w:r>
          </w:p>
        </w:tc>
      </w:tr>
    </w:tbl>
    <w:p>
      <w:pPr>
        <w:spacing w:after="0"/>
      </w:pPr>
    </w:p>
    <w:p>
      <w:pPr>
        <w:pStyle w:val="Heading2"/>
      </w:pPr>
      <w:r>
        <w:t>Phạm vi dữ liệu và thứ tự ưu tiên</w:t>
      </w:r>
    </w:p>
    <w:p>
      <w:r>
        <w:rPr>
          <w:b w:val="0"/>
        </w:rPr>
        <w:t>Ưu tiên trang bị, vật tư và cấp phát, bàn giao để xác định đơn vị chịu trách nhiệm sau sáp nhập. Dữ liệu nhân lực, bồi dưỡng nên mở rộng từ cấu trúc hiện có khi phù hợp, tránh tạo hồ sơ trùng. Hồ sơ chứng thư số cần khảo sát riêng về nhiệm vụ, hệ thống đang sử dụng và đầu mối quản lý.</w:t>
      </w:r>
    </w:p>
    <w:p>
      <w:r>
        <w:rPr>
          <w:b w:val="0"/>
        </w:rPr>
        <w:t>Đề xuất này phục vụ quản lý hành chính và thống kê lĩnh vực cơ yếu. Phòng chuyên môn cần xác định từng loại dữ liệu được phép đưa vào hệ thống chung, dữ liệu phải quản lý riêng và quyền nhập, xem, xuất tương ứng. Không đưa khóa mật mã, khóa bí mật, mã PIN, mật khẩu hoặc nội dung điện mật vào cơ sở dữ liệu quản lý chung.</w:t>
      </w:r>
    </w:p>
    <w:p>
      <w:pPr>
        <w:pStyle w:val="Heading2"/>
      </w:pPr>
      <w:r>
        <w:t>3 Chức năng dùng chung cần bổ sung</w:t>
      </w:r>
    </w:p>
    <w:p>
      <w:r>
        <w:rPr>
          <w:b w:val="0"/>
        </w:rPr>
        <w:t>Đề xuất bổ sung biểu mẫu báo cáo viễn thông, cơ yếu; bộ chỉ số hiện trạng và biến động; thông tin nhắc việc theo hạn hợp đồng, bảo trì, kiểm kê hoặc chứng thư. Mỗi chỉ số cần quy định nguồn dữ liệu, đơn vị tính, cách tính và thời điểm chốt trước khi đưa vào báo cáo lãnh đạo.</w:t>
      </w:r>
    </w:p>
    <w:p>
      <w:r>
        <w:rPr>
          <w:b w:val="0"/>
        </w:rPr>
        <w:t>Với cấp phát và thu hồi, nên lưu diễn biến giao nhận để đối chiếu số đầu kỳ, tăng, giảm và cuối kỳ. Khi mở rộng vào quy trình hiện có, cần thử cả xác nhận, nộp, bổ sung và tra cứu phiên bản lịch sử, thay vì chỉ kiểm tra màn hình nhập liệu.</w:t>
      </w:r>
    </w:p>
    <w:p>
      <w:pPr>
        <w:pStyle w:val="Heading1"/>
        <w:pageBreakBefore/>
      </w:pPr>
      <w:r>
        <w:t>VI NỘI DUNG CẦN THỐNG NHẤT VÀ KIẾN NGHỊ</w:t>
      </w:r>
    </w:p>
    <w:p>
      <w:pPr>
        <w:pStyle w:val="Heading2"/>
      </w:pPr>
      <w:r>
        <w:t>1 Câu hỏi khảo sát với các phòng chuyên môn</w:t>
      </w:r>
    </w:p>
    <w:p>
      <w:r>
        <w:rPr>
          <w:b w:val="0"/>
        </w:rPr>
        <w:t>Về phạm vi: Phòng đang quản lý những đối tượng nào? Đối tượng nào cần hồ sơ chi tiết, đối tượng nào chỉ cần số liệu tổng hợp? Phân hệ nào cần làm trước?</w:t>
      </w:r>
    </w:p>
    <w:p>
      <w:r>
        <w:rPr>
          <w:b w:val="0"/>
        </w:rPr>
        <w:t>Về dữ liệu hiện có: Có danh mục, biểu mẫu hoặc tệp thống kê đang sử dụng không? Trường nào bắt buộc, mã nào dùng để nhận diện duy nhất và tránh nhập trùng?</w:t>
      </w:r>
    </w:p>
    <w:p>
      <w:r>
        <w:rPr>
          <w:b w:val="0"/>
        </w:rPr>
        <w:t>Về trách nhiệm: Ai nhập, ai kiểm tra, đơn vị nào xác nhận và nộp báo cáo? Khi sáp nhập, hồ sơ và trách nhiệm quản lý được bàn giao theo quy tắc nào?</w:t>
      </w:r>
    </w:p>
    <w:p>
      <w:r>
        <w:rPr>
          <w:b w:val="0"/>
        </w:rPr>
        <w:t>Về báo cáo: Lãnh đạo cần xem chỉ tiêu nào, theo kỳ nào? Phạm vi tổng hợp gồm những đơn vị nào? Số lượng, tình trạng, tăng giảm được tính và đối chiếu ra sao?</w:t>
      </w:r>
    </w:p>
    <w:p>
      <w:r>
        <w:rPr>
          <w:b w:val="0"/>
        </w:rPr>
        <w:t>Về quyền truy cập: Dữ liệu nào được phép lưu trên hệ thống chung? Ai được xem chi tiết, xem tổng hợp, xuất tệp? Loại thông tin nào phải quản lý ở hệ thống hoặc phạm vi riêng?</w:t>
      </w:r>
    </w:p>
    <w:p>
      <w:r>
        <w:rPr>
          <w:b w:val="0"/>
        </w:rPr>
        <w:t>Về liên thông: Có phần mềm chuyên ngành đang dùng không? Dữ liệu nào có thể dùng chung hoặc nhận từ hệ thống đó, và đơn vị nào chịu trách nhiệm đối chiếu?</w:t>
      </w:r>
    </w:p>
    <w:p>
      <w:r>
        <w:rPr>
          <w:b w:val="0"/>
        </w:rPr>
        <w:t>Mỗi phòng nên cung cấp một bộ mẫu đang sử dụng, một tập dữ liệu mẫu được phép cung cấp, danh sách chỉ tiêu cần báo cáo và đầu mối xác nhận nghiệp vụ. Đây là đầu vào để chốt yêu cầu, thay cho việc xác định trường dữ liệu chỉ từ tên phân hệ.</w:t>
      </w:r>
    </w:p>
    <w:p>
      <w:pPr>
        <w:pStyle w:val="Heading2"/>
      </w:pPr>
      <w:r>
        <w:t>2 Trình tự triển khai đề xuất</w:t>
      </w:r>
    </w:p>
    <w:p>
      <w:r>
        <w:rPr>
          <w:b w:val="0"/>
        </w:rPr>
        <w:t>Giai đoạn 1: Khảo sát cùng các phòng; thống nhất phạm vi, danh mục, dữ liệu được phép quản lý, quy trình và biểu mẫu. Đồng thời rà soát dữ liệu bàn giao sau sáp nhập.</w:t>
      </w:r>
    </w:p>
    <w:p>
      <w:r>
        <w:rPr>
          <w:b w:val="0"/>
        </w:rPr>
        <w:t>Giai đoạn 2: Xây dựng các phân hệ ưu tiên; thử nghiệm tại một số đơn vị đại diện. Đối chiếu dữ liệu nhập, số tổng hợp, báo cáo đã chốt, quyền truy cập và tình huống điều chỉnh.</w:t>
      </w:r>
    </w:p>
    <w:p>
      <w:r>
        <w:rPr>
          <w:b w:val="0"/>
        </w:rPr>
        <w:t>Giai đoạn 3: Hoàn thiện theo kết quả thử nghiệm; xác nhận yêu cầu nghiệp vụ và điều kiện vận hành; hướng dẫn người dùng, chuyển dữ liệu được phép sử dụng và mở rộng từng bước. Tiến độ, nhân lực và kinh phí xác định sau khi thống nhất phạm vi.</w:t>
      </w:r>
    </w:p>
    <w:p>
      <w:pPr>
        <w:pStyle w:val="Heading2"/>
      </w:pPr>
      <w:r>
        <w:t>3 Nội dung đề nghị lãnh đạo xem xét</w:t>
      </w:r>
    </w:p>
    <w:p>
      <w:r>
        <w:rPr>
          <w:b w:val="0"/>
        </w:rPr>
        <w:t>Cho chủ trương khảo sát mở rộng quản lý viễn thông, cơ yếu; giao mỗi phòng chuyên môn một đầu mối cung cấp biểu mẫu và xác nhận yêu cầu. Ưu tiên đường truyền, thiết bị viễn thông và trang bị, bàn giao cơ yếu; các nội dung còn lại triển khai theo nhu cầu đã thống nhất.</w:t>
      </w:r>
    </w:p>
    <w:p>
      <w:r>
        <w:rPr>
          <w:b w:val="0"/>
        </w:rPr>
        <w:t>Giao bộ phận kỹ thuật phối hợp xây dựng phương án triển khai trên mạng mật, kiểm thử chức năng hiện có và lập kế hoạch mở rộng. Trước đưa vào sử dụng chính thức, hoàn thành việc xác nhận phạm vi dữ liệu, phân quyền, đối chiếu báo cáo, sao lưu khôi phục và điều kiện an toàn của môi trường triển khai.</w:t>
      </w:r>
    </w:p>
    <w:sectPr w:rsidR="00FC693F" w:rsidRPr="0006063C" w:rsidSect="00034616">
      <w:headerReference w:type="default" r:id="rId9"/>
      <w:pgSz w:w="11906" w:h="16838"/>
      <w:pgMar w:top="1134" w:right="964" w:bottom="1134" w:left="1701"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fldSimple w:instr="PAGE">
      <w:r>
        <w:t>2</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ind w:firstLine="567"/>
      <w:jc w:val="both"/>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276" w:lineRule="auto"/>
      <w:ind w:firstLine="0"/>
      <w:jc w:val="left"/>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120" w:line="276" w:lineRule="auto"/>
      <w:ind w:firstLine="0"/>
      <w:jc w:val="left"/>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120" w:line="276" w:lineRule="auto"/>
      <w:ind w:firstLine="0"/>
      <w:jc w:val="left"/>
      <w:outlineLvl w:val="2"/>
    </w:pPr>
    <w:rPr>
      <w:rFonts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76" w:lineRule="auto" w:before="0"/>
      <w:ind w:firstLine="0"/>
      <w:contextualSpacing/>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line="276" w:lineRule="auto"/>
      <w:ind w:firstLine="0"/>
    </w:pPr>
    <w:rPr>
      <w:rFonts w:ascii="Times New Roman" w:hAnsi="Times New Roman" w:eastAsia="Times New Roman" w:cs="Times New Roman"/>
      <w:b/>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before="0" w:after="120"/>
    </w:pPr>
    <w:rPr>
      <w:rFonts w:ascii="Times New Roman" w:hAnsi="Times New Roman" w:eastAsia="Times New Roman" w:cs="Times New Roman"/>
      <w:b/>
      <w:bCs/>
      <w:color w:val="000000"/>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giới thiệu phần mềm Quản lý CNTT và đề xuất mở rộng quản lý viễn thông cơ yếu</dc:title>
  <dc:subject>Tài liệu báo cáo và thảo luận tại cuộc họp với lãnh đạo Cục</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