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Detección de Fraude en Transacciones Financieras</w:t>
        <w:br/>
        <w:t>mediante Aprendizaje Automático: Un Enfoque CRISP-DM</w:t>
        <w:br/>
        <w:t>aplicado a Banco Falabella Colombia</w:t>
      </w:r>
    </w:p>
    <w:p/>
    <w:p>
      <w:pPr>
        <w:jc w:val="center"/>
      </w:pPr>
      <w:r>
        <w:rPr>
          <w:rFonts w:ascii="Times New Roman" w:hAnsi="Times New Roman"/>
          <w:i/>
          <w:sz w:val="20"/>
        </w:rPr>
        <w:t>Grupo 1 — Pontificia Universidad Javeriana</w:t>
        <w:br/>
        <w:t>Especialización en Inteligencia Artificial | Módulo 4</w:t>
        <w:br/>
        <w:t>Bogotá, Colombia — Abril 2026</w:t>
      </w:r>
    </w:p>
    <w:p/>
    <w:p>
      <w:pPr>
        <w:jc w:val="center"/>
      </w:pPr>
      <w:r>
        <w:rPr>
          <w:rFonts w:ascii="Times New Roman" w:hAnsi="Times New Roman"/>
          <w:b/>
          <w:sz w:val="22"/>
        </w:rPr>
        <w:t>RESUMEN</w:t>
      </w:r>
    </w:p>
    <w:p>
      <w:pPr>
        <w:ind w:left="567" w:right="567"/>
        <w:jc w:val="both"/>
      </w:pPr>
      <w:r>
        <w:rPr>
          <w:rFonts w:ascii="Times New Roman" w:hAnsi="Times New Roman"/>
          <w:sz w:val="19"/>
        </w:rPr>
        <w:t>El fraude en transacciones financieras representa pérdidas globales superiores a USD 33.500 millones anuales (Nilson Report, 2023) y constituye una amenaza creciente para entidades como Banco Falabella Colombia, vigilada por la Superintendencia Financiera y sujeta al marco normativo de la Ley 1328/2009 y el SARLAFT. Este trabajo aplica la metodología CRISP-DM al dataset sintético PaySim (6.362.620 transacciones), utilizando muestreo estratificado de 500.000 registros para garantizar la representatividad del 0,13% de fraudes. Se evaluaron tres técnicas de balanceo de clases (Undersampling, Oversampling y SMOTE) y tres modelos de clasificación: Regresión Logística, Random Forest y CatBoost, con tres umbrales de decisión (0,2 / 0,5 / 0,78). La métrica principal fue la Ganancia Neta (GN = TP×$100 − FP×$33), basada en aprendizaje sensible al costo. La configuración óptima fue Random Forest (n=100) + Undersampling + threshold=0,78, con GN ≈ $12.900, AUC-ROC &gt; 0,99 y F1 &gt; 0,86. Se discuten las implicaciones legales (Arts. 246, 2341 CC, Art. 15 CN) y éticas (FAccT framework), incluyendo la necesidad de explicabilidad (SHAP/LIME) para cumplir con el debido proceso ante la Corte Constitucional colombiana.</w:t>
      </w:r>
    </w:p>
    <w:p>
      <w:pPr>
        <w:ind w:left="567" w:right="567"/>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
      <w:pPr>
        <w:jc w:val="center"/>
      </w:pPr>
      <w:r>
        <w:rPr>
          <w:sz w:val="16"/>
        </w:rPr>
        <w:t>────────────────────────────────────────────────────────────────────────────────</w:t>
      </w:r>
    </w:p>
    <w:p/>
    <w:p>
      <w:pPr>
        <w:pStyle w:val="Heading1"/>
        <w:jc w:val="left"/>
      </w:pPr>
      <w:r>
        <w:t>1. ENTENDIMIENTO DEL NEGOCIO</w:t>
      </w:r>
    </w:p>
    <w:p>
      <w:pPr>
        <w:pStyle w:val="Heading2"/>
        <w:jc w:val="left"/>
      </w:pPr>
      <w:r>
        <w:t>1.1. Objetivos del Proyecto</w:t>
      </w:r>
    </w:p>
    <w:p>
      <w:pPr>
        <w:spacing w:before="60" w:after="60"/>
        <w:jc w:val="both"/>
      </w:pPr>
      <w:r>
        <w:rPr>
          <w:rFonts w:ascii="Times New Roman" w:hAnsi="Times New Roman"/>
          <w:b w:val="0"/>
          <w:i w:val="0"/>
          <w:sz w:val="20"/>
        </w:rPr>
        <w:t>El presente trabajo tiene como objetivo principal desarrollar un modelo de aprendizaje automático capaz de detectar transacciones fraudulentas en un entorno financiero de alta escala, minimizando al mismo tiempo los costos asociados a los falsos positivos. El problema se enmarca en la metodología CRISP-DM (Cross-Industry Standard Process for Data Mining), que provee una estructura iterativa y reproducible para proyectos de ciencia de datos.</w:t>
      </w:r>
    </w:p>
    <w:p>
      <w:pPr>
        <w:spacing w:before="60" w:after="60"/>
        <w:jc w:val="both"/>
      </w:pPr>
      <w:r>
        <w:rPr>
          <w:rFonts w:ascii="Times New Roman" w:hAnsi="Times New Roman"/>
          <w:b w:val="0"/>
          <w:i w:val="0"/>
          <w:sz w:val="20"/>
        </w:rPr>
        <w:t>Los objetivos específicos son: (i) analizar el dataset PaySim para identificar patrones transaccionales asociados al fraude; (ii) aplicar técnicas de balanceo de clases que preserven la representatividad estadística; (iii) comparar el desempeño de tres modelos bajo diferentes umbrales de decisión; y (iv) maximizar la Ganancia Neta como KPI principal, integrando consideraciones legales y éticas del contexto colombiano.</w:t>
      </w:r>
    </w:p>
    <w:p>
      <w:pPr>
        <w:pStyle w:val="Heading2"/>
        <w:jc w:val="left"/>
      </w:pPr>
      <w:r>
        <w:t>1.2. Contexto del Caso</w:t>
      </w:r>
    </w:p>
    <w:p>
      <w:pPr>
        <w:spacing w:before="60" w:after="60"/>
        <w:jc w:val="both"/>
      </w:pPr>
      <w:r>
        <w:rPr>
          <w:rFonts w:ascii="Times New Roman" w:hAnsi="Times New Roman"/>
          <w:b w:val="0"/>
          <w:i w:val="0"/>
          <w:sz w:val="20"/>
        </w:rPr>
        <w:t>El fraude en servicios financieros digitales representa una amenaza creciente a escala global y regional. Según el Nilson Report (2023), las pérdidas por fraude en tarjetas alcanzaron USD 33.500 millones en 2022, con proyecciones de crecimiento sostenido impulsadas por la expansión del comercio electrónico y las billeteras digitales. En América Latina, Euromonitor International (2024) reporta un crecimiento del m-commerce superior al 250% en cinco años, ampliando la superficie de ataque para tipologías como Account Takeover, Card-Not-Present (CNP) fraud e ingeniería social avanzada.</w:t>
      </w:r>
    </w:p>
    <w:p>
      <w:pPr>
        <w:spacing w:before="60" w:after="60"/>
        <w:jc w:val="both"/>
      </w:pPr>
      <w:r>
        <w:rPr>
          <w:rFonts w:ascii="Times New Roman" w:hAnsi="Times New Roman"/>
          <w:b w:val="0"/>
          <w:i w:val="0"/>
          <w:sz w:val="20"/>
        </w:rPr>
        <w:t>El dataset PaySim (Kaggle, 2017) simula transacciones de banca móvil durante 30 días (6.362.620 registros), replicando patrones reales de fraude identificados por una empresa de telecomunicaciones africana. El desbalance de clases es extremo: el 99,87% de las transacciones son legítimas y solo el 0,13% corresponden a fraude, configurando la denominada 'Paradoja de la Precisión' (Accuracy Paradox), donde un clasificador naïve que predice siempre 'no fraude' obtendría 99,87% de accuracy siendo completamente inútil (Dal Pozzolo et al., 2015).</w:t>
      </w:r>
    </w:p>
    <w:p>
      <w:pPr>
        <w:pStyle w:val="Heading2"/>
        <w:jc w:val="left"/>
      </w:pPr>
      <w:r>
        <w:t>1.3. Entidad Financiera: Banco Falabella</w:t>
      </w:r>
    </w:p>
    <w:p>
      <w:pPr>
        <w:spacing w:before="60" w:after="60"/>
        <w:jc w:val="both"/>
      </w:pPr>
      <w:r>
        <w:rPr>
          <w:rFonts w:ascii="Times New Roman" w:hAnsi="Times New Roman"/>
          <w:b w:val="0"/>
          <w:i w:val="0"/>
          <w:sz w:val="20"/>
        </w:rPr>
        <w:t>Banco Falabella S.A. es una entidad financiera vigilada por la Superintendencia Financiera de Colombia (SFC), subsidiaria del Grupo Falabella S.A., uno de los conglomerados de retail y servicios financieros más grandes de América Latina, con operaciones en Chile, Perú, Colombia y Argentina (Grupo Falabella, Memoria Anual 2023). En Colombia, su producto emblemático es la Tarjeta de Crédito CMR, con más de 1,5 millones de tarjetahabientes activos.</w:t>
      </w:r>
    </w:p>
    <w:p>
      <w:pPr>
        <w:spacing w:before="60" w:after="60"/>
        <w:jc w:val="both"/>
      </w:pPr>
      <w:r>
        <w:rPr>
          <w:rFonts w:ascii="Times New Roman" w:hAnsi="Times New Roman"/>
          <w:b w:val="0"/>
          <w:i w:val="0"/>
          <w:sz w:val="20"/>
        </w:rPr>
        <w:t>Desde el punto de vista técnico, la entidad opera canales de banca digital (app móvil, web) y procesa transacciones en tiempo real bajo redes Visa y Mastercard, generando exactamente el tipo de datos transaccionales que modela PaySim. Operacionalmente, está obligada a mantener el SARLAFT (Sistema de Administración del Riesgo de LA/FT) según el Decreto 1674 de 2021, y a cumplir los protocolos de bloqueo/reactivación de la Circular Externa SFC 029/2014.</w:t>
      </w:r>
    </w:p>
    <w:p>
      <w:pPr>
        <w:pStyle w:val="Heading2"/>
        <w:jc w:val="left"/>
      </w:pPr>
      <w:r>
        <w:t>1.4. Marco Legal</w:t>
      </w:r>
    </w:p>
    <w:p>
      <w:pPr>
        <w:spacing w:before="60" w:after="60"/>
        <w:jc w:val="both"/>
      </w:pPr>
      <w:r>
        <w:rPr>
          <w:rFonts w:ascii="Times New Roman" w:hAnsi="Times New Roman"/>
          <w:b w:val="0"/>
          <w:i w:val="0"/>
          <w:sz w:val="20"/>
        </w:rPr>
        <w:t>El despliegue de IA para detección de fraude opera en la intersección de múltiples marcos normativos colombianos:</w:t>
      </w:r>
    </w:p>
    <w:p>
      <w:pPr>
        <w:spacing w:before="60" w:after="60"/>
        <w:jc w:val="both"/>
      </w:pPr>
      <w:r>
        <w:rPr>
          <w:rFonts w:ascii="Times New Roman" w:hAnsi="Times New Roman"/>
          <w:b w:val="0"/>
          <w:i w:val="0"/>
          <w:sz w:val="20"/>
        </w:rPr>
        <w:t>• Art. 246 Código Penal (Ley 599/2000): tipifica la estafa. La IA actúa como mecanismo de prevención, reduciendo la materialización del delito sobre los clientes de la entidad.</w:t>
        <w:br/>
        <w:t>• Art. 323 Código Penal: obliga a las entidades financieras a mantener el SARLAFT para prevenir lavado de activos, con reporte obligatorio a la UIAF ante operaciones sospechosas.</w:t>
        <w:br/>
        <w:t>• Art. 2341 Código Civil: responsabilidad extracontractual — si el modelo produce un falso negativo (fraude consumado), el banco debe restituir los fondos al cliente afectado.</w:t>
        <w:br/>
        <w:t>• Art. 15 Constitución Política: el bloqueo indebido de un usuario legítimo (falso positivo) vulnera su derecho al mínimo vital, buen nombre y libre desarrollo económico. La Corte Constitucional ha calificado esto como de altísima gravedad (Sentencia T-255/22).</w:t>
        <w:br/>
        <w:t>• Ley 1266/2008: prohíbe reportes negativos infundados en centrales de riesgo.</w:t>
        <w:br/>
        <w:t>• Ley 1328/2009, Art. 3: exige altos estándares de servicio al consumidor financiero.</w:t>
      </w:r>
    </w:p>
    <w:p>
      <w:pPr>
        <w:pStyle w:val="Heading2"/>
        <w:jc w:val="left"/>
      </w:pPr>
      <w:r>
        <w:t>1.5. Ética en la Toma de Decisiones</w:t>
      </w:r>
    </w:p>
    <w:p>
      <w:pPr>
        <w:spacing w:before="60" w:after="60"/>
        <w:jc w:val="both"/>
      </w:pPr>
      <w:r>
        <w:rPr>
          <w:rFonts w:ascii="Times New Roman" w:hAnsi="Times New Roman"/>
          <w:b w:val="0"/>
          <w:i w:val="0"/>
          <w:sz w:val="20"/>
        </w:rPr>
        <w:t>La automatización de decisiones de bloqueo mediante IA implica una transferencia de poder desde personas a algoritmos, con consecuencias jurídicas concretas. El framework FAccT (Fairness, Accountability, Transparency — ACM, 2020) provee el marco ético de referencia:</w:t>
      </w:r>
    </w:p>
    <w:p>
      <w:pPr>
        <w:spacing w:before="60" w:after="60"/>
        <w:jc w:val="both"/>
      </w:pPr>
      <w:r>
        <w:rPr>
          <w:rFonts w:ascii="Times New Roman" w:hAnsi="Times New Roman"/>
          <w:b w:val="0"/>
          <w:i w:val="0"/>
          <w:sz w:val="20"/>
        </w:rPr>
        <w:t>• Fairness (Equidad): los modelos entrenados con datos históricos sesgados perpetúan desigualdades sociodemográficas, afectando desproporcionadamente a perfiles 'thin-file', zonas rurales y minorías (Obermeyer et al., Science 2019).</w:t>
        <w:br/>
        <w:t>• Accountability (Responsabilidad): la Ley 1266/2008 y el Art. 2341 CC establecen responsabilidad clara por las decisiones del modelo.</w:t>
        <w:br/>
        <w:t>• Transparency (Transparencia): RF y CatBoost son modelos opacos. El banco no puede responder 'el algoritmo lo decidió' ante un juez de tutela. La solución es XAI: SHAP (Lundberg &amp; Lee, 2017) y LIME (Ribeiro et al., 2016) permiten explicar individualmente cada decisión.</w:t>
      </w:r>
    </w:p>
    <w:p>
      <w:pPr>
        <w:pStyle w:val="Heading1"/>
        <w:jc w:val="left"/>
      </w:pPr>
      <w:r>
        <w:t>2. ENTENDIMIENTO DE LOS DATOS</w:t>
      </w:r>
    </w:p>
    <w:p>
      <w:pPr>
        <w:pStyle w:val="Heading2"/>
        <w:jc w:val="left"/>
      </w:pPr>
      <w:r>
        <w:t>2.1. Estructura del Dataset</w:t>
      </w:r>
    </w:p>
    <w:p>
      <w:pPr>
        <w:spacing w:before="60" w:after="60"/>
        <w:jc w:val="both"/>
      </w:pPr>
      <w:r>
        <w:rPr>
          <w:rFonts w:ascii="Times New Roman" w:hAnsi="Times New Roman"/>
          <w:b w:val="0"/>
          <w:i w:val="0"/>
          <w:sz w:val="20"/>
        </w:rPr>
        <w:t>El dataset PaySim cuenta con 6.362.620 filas y 11 columnas: step (hora de la transacción), type (tipo: CASH_IN, CASH_OUT, DEBIT, PAYMENT, TRANSFER), amount (monto), nameOrig y nameDest (identificadores — excluidos por privacidad), oldbalanceOrg, newbalanceOrig, oldbalanceDest, newbalanceDest, isFraud (variable objetivo) e isFlaggedFraud (regla simple — excluida para evitar data leakage). El target isFraud es binario: 0 = legítima (99,87%), 1 = fraude (0,13%).</w:t>
      </w:r>
    </w:p>
    <w:p>
      <w:pPr>
        <w:spacing w:before="60" w:after="60"/>
        <w:jc w:val="both"/>
      </w:pPr>
      <w:r>
        <w:rPr>
          <w:rFonts w:ascii="Times New Roman" w:hAnsi="Times New Roman"/>
          <w:b w:val="0"/>
          <w:i w:val="0"/>
          <w:sz w:val="20"/>
        </w:rPr>
        <w:t>Dado el volumen (471 MB) y las limitaciones de memoria (8 GB RAM), se implementó lectura por chunks de 100.000 filas con dtypes optimizados (float32, int8), seguida de muestreo estratificado de 500.000 registros manteniendo la proporción de fraudes del dataset original.</w:t>
      </w:r>
    </w:p>
    <w:p>
      <w:pPr>
        <w:pStyle w:val="Heading2"/>
        <w:jc w:val="left"/>
      </w:pPr>
      <w:r>
        <w:t>2.2. Calidad de los Datos</w:t>
      </w:r>
    </w:p>
    <w:p>
      <w:pPr>
        <w:spacing w:before="60" w:after="60"/>
        <w:jc w:val="both"/>
      </w:pPr>
      <w:r>
        <w:rPr>
          <w:rFonts w:ascii="Times New Roman" w:hAnsi="Times New Roman"/>
          <w:b w:val="0"/>
          <w:i w:val="0"/>
          <w:sz w:val="20"/>
        </w:rPr>
        <w:t>El análisis con ydata-profiling v4.9.0 confirmó: (i) cero valores faltantes en todas las variables; (ii) variables numéricas con distribuciones altamente asimétricas (skewness &gt; 10 en amount); (iii) alta multicolinealidad entre oldbalanceOrg y newbalanceOrig (r = 0,98). El dataset no requiere imputación, pero sí transformación logarítmica para tratar outliers extremos.</w:t>
      </w:r>
    </w:p>
    <w:p>
      <w:pPr>
        <w:pStyle w:val="Heading2"/>
        <w:jc w:val="left"/>
      </w:pPr>
      <w:r>
        <w:t>2.3. Estadística Descriptiva</w:t>
      </w:r>
    </w:p>
    <w:p>
      <w:pPr>
        <w:spacing w:before="60" w:after="60"/>
        <w:jc w:val="both"/>
      </w:pPr>
      <w:r>
        <w:rPr>
          <w:rFonts w:ascii="Times New Roman" w:hAnsi="Times New Roman"/>
          <w:b w:val="0"/>
          <w:i w:val="0"/>
          <w:sz w:val="20"/>
        </w:rPr>
        <w:t>La estadística descriptiva revela patrones claros de discriminación entre fraude y no-fraude. El monto promedio de transacciones fraudulentas (media ≈ $1.467.466) es significativamente mayor que el de transacciones legítimas. El análisis de rangos intercuartílicos (IQR = Q3 − Q1) evidencia que el 75% de las transacciones fraudulentas supera el umbral de Tukey (Q3 + 1,5×IQR) de las transacciones legítimas, configurando outliers estructurales, no aleatorios.</w:t>
      </w:r>
    </w:p>
    <w:p>
      <w:pPr>
        <w:spacing w:before="60" w:after="60"/>
        <w:jc w:val="both"/>
      </w:pPr>
      <w:r>
        <w:rPr>
          <w:rFonts w:ascii="Times New Roman" w:hAnsi="Times New Roman"/>
          <w:b w:val="0"/>
          <w:i w:val="0"/>
          <w:sz w:val="20"/>
        </w:rPr>
        <w:t>Hallazgo crítico: solo los tipos de transacción TRANSFER y CASH_OUT presentan fraude en el dataset. PAYMENT, DEBIT y CASH_IN tienen isFraud = 0 en el 100% de los casos. Esta característica reduce el espacio del problema y permite al modelo concentrarse en patrones de mayor riesgo.</w:t>
      </w:r>
    </w:p>
    <w:p>
      <w:pPr>
        <w:pStyle w:val="Heading2"/>
        <w:jc w:val="left"/>
      </w:pPr>
      <w:r>
        <w:t>2.4. Visualizaciones</w:t>
      </w:r>
    </w:p>
    <w:p>
      <w:pPr>
        <w:spacing w:before="60" w:after="60"/>
        <w:jc w:val="both"/>
      </w:pPr>
      <w:r>
        <w:rPr>
          <w:rFonts w:ascii="Times New Roman" w:hAnsi="Times New Roman"/>
          <w:b w:val="0"/>
          <w:i w:val="0"/>
          <w:sz w:val="20"/>
        </w:rPr>
        <w:t>Los histogramas con hue=isFraud muestran solapamiento mínimo entre clases en amount_log y error_balance_orig, confirmando el poder discriminativo de las variables de ingeniería de características. La matriz de correlación identifica las variables con mayor correlación con isFraud: error_balance_orig (r = 0,76), amount_log (r = 0,43) y type_TRANSFER (r = 0,38). El countplot type vs isFraud confirma visualmente la concentración del fraude en TRANSFER y CASH_OUT.</w:t>
      </w:r>
    </w:p>
    <w:p>
      <w:pPr>
        <w:pStyle w:val="Heading1"/>
        <w:jc w:val="left"/>
      </w:pPr>
      <w:r>
        <w:t>3. PREPARACIÓN DE LOS DATOS</w:t>
      </w:r>
    </w:p>
    <w:p>
      <w:pPr>
        <w:pStyle w:val="Heading2"/>
        <w:jc w:val="left"/>
      </w:pPr>
      <w:r>
        <w:t>3.1. Transformaciones</w:t>
      </w:r>
    </w:p>
    <w:p>
      <w:pPr>
        <w:spacing w:before="60" w:after="60"/>
        <w:jc w:val="both"/>
      </w:pPr>
      <w:r>
        <w:rPr>
          <w:rFonts w:ascii="Times New Roman" w:hAnsi="Times New Roman"/>
          <w:b w:val="0"/>
          <w:i w:val="0"/>
          <w:sz w:val="20"/>
        </w:rPr>
        <w:t>El preprocesamiento aplicado siguió un pipeline anti data-leakage estricto. Las transformaciones realizadas fueron: (i) eliminación de nameOrig, nameDest (identificadores únicos — sin poder predictivo, riesgo de privacidad) e isFlaggedFraud (regla simple que introduciría fuga de datos); (ii) one-hot encoding de type (5 categorías → 4 variables dummy); (iii) feature engineering: hour = step % 24, hour_sin y hour_cos (codificación cíclica), error_balance_orig = oldbalanceOrg − newbalanceOrig − amount, error_balance_dest = oldbalanceDest − newbalanceDest + amount; (iv) transformación logarítmica log1p sobre amount y variables de balance para reducir la influencia de outliers extremos.</w:t>
      </w:r>
    </w:p>
    <w:p>
      <w:pPr>
        <w:spacing w:before="60" w:after="60"/>
        <w:jc w:val="both"/>
      </w:pPr>
      <w:r>
        <w:rPr>
          <w:rFonts w:ascii="Times New Roman" w:hAnsi="Times New Roman"/>
          <w:b w:val="0"/>
          <w:i w:val="0"/>
          <w:sz w:val="20"/>
        </w:rPr>
        <w:t>La partición train/test se realizó con estratificación (80/20), garantizando que ambos conjuntos mantienen la proporción de fraudes. El StandardScaler se ajustó exclusivamente sobre X_train y se aplicó transformación (sin re-ajuste) sobre X_test, eliminando el riesgo de data leakage por escalado previo al split (Kaufman et al., 2012).</w:t>
      </w:r>
    </w:p>
    <w:p>
      <w:pPr>
        <w:pStyle w:val="Heading2"/>
        <w:jc w:val="left"/>
      </w:pPr>
      <w:r>
        <w:t>3.2. Técnicas de Balanceo</w:t>
      </w:r>
    </w:p>
    <w:p>
      <w:pPr>
        <w:spacing w:before="60" w:after="60"/>
        <w:jc w:val="both"/>
      </w:pPr>
      <w:r>
        <w:rPr>
          <w:rFonts w:ascii="Times New Roman" w:hAnsi="Times New Roman"/>
          <w:b w:val="0"/>
          <w:i w:val="0"/>
          <w:sz w:val="20"/>
        </w:rPr>
        <w:t>El desbalance extremo (0,13% fraudes) hace inviable entrenar directamente sobre la distribución original. Se implementaron tres estrategias:</w:t>
      </w:r>
    </w:p>
    <w:p>
      <w:pPr>
        <w:spacing w:before="60" w:after="60"/>
        <w:jc w:val="both"/>
      </w:pPr>
      <w:r>
        <w:rPr>
          <w:rFonts w:ascii="Times New Roman" w:hAnsi="Times New Roman"/>
          <w:b w:val="0"/>
          <w:i w:val="0"/>
          <w:sz w:val="20"/>
        </w:rPr>
        <w:t>• Undersampling (RandomUnderSampler): reduce la clase mayoritaria al nivel de la minoritaria. Resultado: ~1.000 registros balanceados 50/50. Ventaja: rapidez y bajo uso de memoria. Riesgo: pérdida significativa de información de la clase mayoritaria (underfitting).</w:t>
        <w:br/>
        <w:t>• Oversampling (RandomOverSampler): replica la clase minoritaria hasta igualar la mayoritaria. Resultado: ~399.000 registros. Ventaja: conserva todos los datos originales. Riesgo: overfitting por duplicación exacta de instancias.</w:t>
        <w:br/>
        <w:t>• SMOTE (Synthetic Minority Over-sampling Technique): genera ejemplos sintéticos de fraude mediante interpolación k-NN entre instancias reales (Chawla et al., 2002). Resultado: ~399.000 registros con fraudes sintetizados. Es la técnica más robusta para datos financieros según la literatura (He &amp; Garcia, 2009).</w:t>
      </w:r>
    </w:p>
    <w:p>
      <w:pPr>
        <w:pStyle w:val="Heading2"/>
        <w:jc w:val="left"/>
      </w:pPr>
      <w:r>
        <w:t>3.3. EDA por Dataset Balanceado</w:t>
      </w:r>
    </w:p>
    <w:p>
      <w:pPr>
        <w:spacing w:before="60" w:after="60"/>
        <w:jc w:val="both"/>
      </w:pPr>
      <w:r>
        <w:rPr>
          <w:rFonts w:ascii="Times New Roman" w:hAnsi="Times New Roman"/>
          <w:b w:val="0"/>
          <w:i w:val="0"/>
          <w:sz w:val="20"/>
        </w:rPr>
        <w:t>Para cada dataset balanceado se realizó el análisis del Punto 2 completo: estadística descriptiva con IQR, boxplots, histogramas con hue=isFraud y correlaciones con la variable objetivo. El análisis comparativo revela que SMOTE introduce leve ruido sintético en las zonas de solapamiento (amount_log entre 10 y 13), mientras que Undersampling preserva la distribución original pero con alta varianza por el tamaño reducido. Oversampling replica exactamente la distribución de la clase minoritaria original, sin introducir variabilidad adicional.</w:t>
      </w:r>
    </w:p>
    <w:p>
      <w:pPr>
        <w:pStyle w:val="Heading1"/>
        <w:jc w:val="left"/>
      </w:pPr>
      <w:r>
        <w:t>4. MODELADO</w:t>
      </w:r>
    </w:p>
    <w:p>
      <w:pPr>
        <w:pStyle w:val="Heading2"/>
        <w:jc w:val="left"/>
      </w:pPr>
      <w: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jueces (Hosmer &amp; Lemeshow, 2000). Se entrenó con class_weight='balanced' y max_iter=1000 sobre los tres datasets balanceados, evaluando thresholds 0,2 / 0,5 / 0,78.</w:t>
      </w:r>
    </w:p>
    <w:p>
      <w:pPr>
        <w:spacing w:before="60" w:after="60"/>
        <w:jc w:val="both"/>
      </w:pPr>
      <w:r>
        <w:rPr>
          <w:rFonts w:ascii="Times New Roman" w:hAnsi="Times New Roman"/>
          <w:b w:val="0"/>
          <w:i w:val="0"/>
          <w:sz w:val="20"/>
        </w:rPr>
        <w:t>Resultado crítico: la Regresión Logística produjo Ganancia Neta negativa en todas las configuraciones, indicando que el costo de los falsos positivos superó el beneficio de los verdaderos positivos. Este resultado, aunque contraintuitivo, es consistente con la literatura: los límites de decisión lineales son insuficientes para capturar la no-linealidad de los patrones de fraude transaccional (Bahnsen et al., 2016). Su valor en este contexto es como baseline y como modelo interpretable para auditorías regulatorias.</w:t>
      </w:r>
    </w:p>
    <w:p>
      <w:pPr>
        <w:pStyle w:val="Heading2"/>
        <w:jc w:val="left"/>
      </w:pPr>
      <w:r>
        <w:t>4.2. Random Forest</w:t>
      </w:r>
    </w:p>
    <w:p>
      <w:pPr>
        <w:spacing w:before="60" w:after="60"/>
        <w:jc w:val="both"/>
      </w:pPr>
      <w:r>
        <w:rPr>
          <w:rFonts w:ascii="Times New Roman" w:hAnsi="Times New Roman"/>
          <w:b w:val="0"/>
          <w:i w:val="0"/>
          <w:sz w:val="20"/>
        </w:rPr>
        <w:t>Random Forest es un ensamble de árboles de decisión independientes (Bagging), entrenados sobre subconjuntos aleatorios de datos y características (Breiman, 2001). Los hiperparámetros utilizados fueron: n_estimators ∈ {100, 500}, class_weight='balanced' (penalización proporcional al desbalance), bootstrap=True (diversidad en patrones aprendidos) y max_features='sqrt' (evita que la variable amount domine todas las divisiones).</w:t>
      </w:r>
    </w:p>
    <w:p>
      <w:pPr>
        <w:spacing w:before="60" w:after="60"/>
        <w:jc w:val="both"/>
      </w:pPr>
      <w:r>
        <w:rPr>
          <w:rFonts w:ascii="Times New Roman" w:hAnsi="Times New Roman"/>
          <w:b w:val="0"/>
          <w:i w:val="0"/>
          <w:sz w:val="20"/>
        </w:rPr>
        <w:t>Los resultados muestran AUC-ROC superior a 0,99 en todas las configuraciones, con F1 &gt; 0,86 para TRANSFER y CASH_OUT. La configuración RF (n=100) + Undersampling + threshold=0,78 fue la óptima según la Ganancia Neta, alcanzando GN ≈ $12.900. El aumento a n=500 no produjo mejoras significativas, consistente con la convergencia del ensamble reportada en la literatura (Oshiro et al., 2012).</w:t>
      </w:r>
    </w:p>
    <w:p>
      <w:pPr>
        <w:pStyle w:val="Heading2"/>
        <w:jc w:val="left"/>
      </w:pPr>
      <w:r>
        <w:t>4.3. CatBoost</w:t>
      </w:r>
    </w:p>
    <w:p>
      <w:pPr>
        <w:spacing w:before="60" w:after="60"/>
        <w:jc w:val="both"/>
      </w:pPr>
      <w:r>
        <w:rPr>
          <w:rFonts w:ascii="Times New Roman" w:hAnsi="Times New Roman"/>
          <w:b w:val="0"/>
          <w:i w:val="0"/>
          <w:sz w:val="20"/>
        </w:rPr>
        <w:t>CatBoost (Prokhorenkova et al., 2018) es un algoritmo de Gradient Boosting con manejo nativo de variables categóricas mediante Ordered Target Encoding, que previene el target leakage endémico de otros encodings. Sus Oblivious Trees (árboles simétricos) permiten inferencia de ultra-baja latencia, crítica para sistemas de detección en tiempo real.</w:t>
      </w:r>
    </w:p>
    <w:p>
      <w:pPr>
        <w:spacing w:before="60" w:after="60"/>
        <w:jc w:val="both"/>
      </w:pPr>
      <w:r>
        <w:rPr>
          <w:rFonts w:ascii="Times New Roman" w:hAnsi="Times New Roman"/>
          <w:b w:val="0"/>
          <w:i w:val="0"/>
          <w:sz w:val="20"/>
        </w:rPr>
        <w:t>Los hiperparámetros se seleccionaron con base en estudios previos que resolvieron el mismo problema (fraude financiero con datos desbalanceados):</w:t>
      </w:r>
    </w:p>
    <w:p>
      <w:pPr>
        <w:spacing w:before="60" w:after="60"/>
        <w:jc w:val="both"/>
      </w:pPr>
      <w:r>
        <w:rPr>
          <w:rFonts w:ascii="Times New Roman" w:hAnsi="Times New Roman"/>
          <w:b w:val="0"/>
          <w:i w:val="0"/>
          <w:sz w:val="20"/>
        </w:rPr>
        <w:t>• iterations=300: balance entre capacidad y tiempo de cómputo en datasets financieros (Cherif et al., 2023 — arXiv 2303.06514; IJSDR2401084).</w:t>
        <w:br/>
        <w:t>• learning_rate=0,05: tasa conservadora que evita sobreajuste en GBDT secuencial (Zhang et al., 2022 — ResearchGate 349156860).</w:t>
        <w:br/>
        <w:t>• depth=6: profundidad óptima reportada para datos financieros desbalanceados, con AUC 0,9837 documentado (Islam &amp; Chowdhury, 2022 — ref. 1 del marco teórico).</w:t>
        <w:br/>
        <w:t>• eval_metric='F1': métrica correcta para clases desbalanceadas, evita la Accuracy Paradox (Branco et al., 2016 — MDPI 2078-2489).</w:t>
        <w:br/>
        <w:t>• Sin scale_pos_weight (datasets SMOTE/Over): SMOTE y scale_pos_weight son estrategias alternativas de balanceo — aplicar ambas genera doble penalización y degrada el rendimiento (IJSDR2401084; ResearchGate 349156860).</w:t>
      </w:r>
    </w:p>
    <w:p>
      <w:pPr>
        <w:pStyle w:val="Heading2"/>
        <w:jc w:val="left"/>
      </w:pPr>
      <w:r>
        <w:t>4.4. Métricas y Curvas ROC</w:t>
      </w:r>
    </w:p>
    <w:p>
      <w:pPr>
        <w:spacing w:before="60" w:after="60"/>
        <w:jc w:val="both"/>
      </w:pPr>
      <w:r>
        <w:rPr>
          <w:rFonts w:ascii="Times New Roman" w:hAnsi="Times New Roman"/>
          <w:b w:val="0"/>
          <w:i w:val="0"/>
          <w:sz w:val="20"/>
        </w:rPr>
        <w:t>Para cada combinación modelo × dataset × threshold se registraron: Precision, Recall, F1-score (clase fraude), ROC-AUC y Ganancia Neta. Las curvas ROC de los tres modelos confirman que Random Forest y CatBoost alcanzan AUC &gt; 0,99, significativamente por encima de la Regresión Logística (AUC ≈ 0,93). La curva Precision-Recall, más informativa en clases desbalanceadas, muestra que ambos modelos no-lineales mantienen Precision &gt; 0,85 para Recall &gt; 0,80.</w:t>
      </w:r>
    </w:p>
    <w:p>
      <w:pPr>
        <w:pStyle w:val="Heading1"/>
        <w:jc w:val="left"/>
      </w:pPr>
      <w:r>
        <w:t>5. EVALUACIÓN — KPI GANANCIA NETA</w:t>
      </w:r>
    </w:p>
    <w:p>
      <w:pPr>
        <w:pStyle w:val="Heading2"/>
        <w:jc w:val="left"/>
      </w:pPr>
      <w:r>
        <w:t>5.1. Definición del KPI</w:t>
      </w:r>
    </w:p>
    <w:p>
      <w:pPr>
        <w:spacing w:before="60" w:after="60"/>
        <w:jc w:val="both"/>
      </w:pPr>
      <w:r>
        <w:rPr>
          <w:rFonts w:ascii="Times New Roman" w:hAnsi="Times New Roman"/>
          <w:b w:val="0"/>
          <w:i w:val="0"/>
          <w:sz w:val="20"/>
        </w:rPr>
        <w:t>La Ganancia Neta (GN) es el KPI central del análisis, basado en el paradigma de Aprendizaje Sensible al Costo (Cost-Sensitive Learning — Elkan, 2001):</w:t>
      </w:r>
    </w:p>
    <w:p>
      <w:pPr>
        <w:spacing w:before="60" w:after="60"/>
        <w:jc w:val="both"/>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reputación + cumplimiento regulatorio) y $C = $33 representa el costo por cada cliente legítimo incorrectamente bloqueado (compensación, atención al cliente, pérdida de confianza). La ratio $I/$C = 3,03 implica que tres falsos positivos eliminan el beneficio de un verdadero positivo.</w:t>
      </w:r>
    </w:p>
    <w:p>
      <w:pPr>
        <w:pStyle w:val="Heading2"/>
        <w:jc w:val="left"/>
      </w:pPr>
      <w:r>
        <w:t>5.2. Resultados y Modelo Ganador</w:t>
      </w:r>
    </w:p>
    <w:p>
      <w:pPr>
        <w:spacing w:before="60" w:after="60"/>
        <w:jc w:val="both"/>
      </w:pPr>
      <w:r>
        <w:rPr>
          <w:rFonts w:ascii="Times New Roman" w:hAnsi="Times New Roman"/>
          <w:b w:val="0"/>
          <w:i w:val="0"/>
          <w:sz w:val="20"/>
        </w:rPr>
        <w:t>Se evaluaron 27 configuraciones (3 modelos × 3 datasets × 3 thresholds) más las variantes RF n=100/n=500. La configuración óptima fue:</w:t>
      </w:r>
    </w:p>
    <w:p>
      <w:pPr>
        <w:spacing w:before="60" w:after="60"/>
        <w:jc w:val="both"/>
      </w:pPr>
      <w:r>
        <w:rPr>
          <w:rFonts w:ascii="Times New Roman" w:hAnsi="Times New Roman"/>
          <w:b/>
          <w:i w:val="0"/>
          <w:sz w:val="20"/>
        </w:rPr>
        <w:t>Random Forest (n=100) + Undersampling + threshold=0,78 → GN ≈ $12.900</w:t>
      </w:r>
    </w:p>
    <w:p>
      <w:pPr>
        <w:spacing w:before="60" w:after="60"/>
        <w:jc w:val="both"/>
      </w:pPr>
      <w:r>
        <w:rPr>
          <w:rFonts w:ascii="Times New Roman" w:hAnsi="Times New Roman"/>
          <w:b w:val="0"/>
          <w:i w:val="0"/>
          <w:sz w:val="20"/>
        </w:rPr>
        <w:t>Este resultado se explica por la interacción de tres factores. Primero, Undersampling preserva los patrones genuinos de fraude al eliminar el ruido de la clase mayoritaria, sin introducir los artefactos sintéticos de SMOTE en zonas de solapamiento (He &amp; Garcia, 2009). Segundo, n=100 árboles es suficiente para la convergencia del ensamble en este dataset (Oshiro et al., 2012), y el comportamiento de bagging reduce la varianza sin incrementar el sesgo. Tercero, threshold=0,78 optimiza la ratio TP/FP específica de la función de costo: al elevar el umbral se reducen los FP (costo $33 cada uno) más rápido que los TP, maximizando así la GN.</w:t>
      </w:r>
    </w:p>
    <w:p>
      <w:pPr>
        <w:spacing w:before="60" w:after="60"/>
        <w:jc w:val="both"/>
      </w:pPr>
      <w:r>
        <w:rPr>
          <w:rFonts w:ascii="Times New Roman" w:hAnsi="Times New Roman"/>
          <w:b w:val="0"/>
          <w:i w:val="0"/>
          <w:sz w:val="20"/>
        </w:rPr>
        <w:t>El análisis de trade-off por threshold revela implicaciones legales directas: threshold=0,2 maximiza el Recall (detecta más fraudes) pero genera una cascada de falsos positivos que, bajo el Art. 15 CN y la Sentencia T-255/22, podrían originar acciones de tutela por vulneración del mínimo vital. Threshold=0,78 equilibra la Ganancia Neta con el cumplimiento legal, siendo la elección técnica y jurídicamente justificada para Banco Falabella.</w:t>
      </w:r>
    </w:p>
    <w:p>
      <w:pPr>
        <w:pStyle w:val="Heading2"/>
        <w:jc w:val="left"/>
      </w:pPr>
      <w: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lo que indica que el modelo generó más costos por falsos positivos que beneficios por verdaderos positivos. Este resultado es una consecuencia directa de los límites de decisión lineales: las transacciones fraudulentas en PaySim forman clusters no-lineales en el espacio amount × error_balance × type que un hiperplano no puede separar eficientemente (Bahnsen et al., 2016). Sin embargo, su valor radica en la interpretabilidad regulatoria: los coeficientes de la regresión logística pueden presentarse ante la SFC como evidencia de las variables más relevantes para la detección de fraude.</w:t>
      </w:r>
    </w:p>
    <w:p>
      <w:pPr>
        <w:pStyle w:val="Heading1"/>
        <w:jc w:val="left"/>
      </w:pPr>
      <w:r>
        <w:t>6. ANÁLISIS ÉTICO</w:t>
      </w:r>
    </w:p>
    <w:p>
      <w:pPr>
        <w:pStyle w:val="Heading2"/>
        <w:jc w:val="left"/>
      </w:pPr>
      <w:r>
        <w:t>6.1. Fairness — Equidad</w:t>
      </w:r>
    </w:p>
    <w:p>
      <w:pPr>
        <w:spacing w:before="60" w:after="60"/>
        <w:jc w:val="both"/>
      </w:pPr>
      <w:r>
        <w:rPr>
          <w:rFonts w:ascii="Times New Roman" w:hAnsi="Times New Roman"/>
          <w:b w:val="0"/>
          <w:i w:val="0"/>
          <w:sz w:val="20"/>
        </w:rPr>
        <w:t>Los modelos de ML entrenados con datos históricos heredan y amplifican los sesgos presentes en esos datos (Obermeyer et al., Science 2019; ref. 32 del marco teórico). En el contexto de Banco Falabella, los principales riesgos de sesgo son: (i) discriminación de perfiles 'thin-file' (clientes con historial transaccional escaso, como emprendedoras, migrantes y adultos mayores), que el modelo podría clasificar erróneamente como sospechosos por falta de datos de referencia; (ii) sesgo geográfico: zonas rurales con patrones transaccionales atípicos (pagos en efectivo frecuentes, montos irregulares) podrían ser penalizadas injustamente; (iii) sesgo de género: estudios internacionales documentan que las mujeres emprendedoras son afectadas desproporcionadamente por sistemas automáticos de bloqueo (Eubanks, 2018). Estos sesgos violan el principio de igualdad material del Art. 13 CN y el Art. 15 sobre no discriminación en el tratamiento de datos personales.</w:t>
      </w:r>
    </w:p>
    <w:p>
      <w:pPr>
        <w:pStyle w:val="Heading2"/>
        <w:jc w:val="left"/>
      </w:pPr>
      <w:r>
        <w:t>6.2. Accountability — Responsabilidad</w:t>
      </w:r>
    </w:p>
    <w:p>
      <w:pPr>
        <w:spacing w:before="60" w:after="60"/>
        <w:jc w:val="both"/>
      </w:pPr>
      <w:r>
        <w:rPr>
          <w:rFonts w:ascii="Times New Roman" w:hAnsi="Times New Roman"/>
          <w:b w:val="0"/>
          <w:i w:val="0"/>
          <w:sz w:val="20"/>
        </w:rPr>
        <w:t>La Ley 1266/2008 (Hábeas Data Financiero) y el Art. 2341 CC establecen que Banco Falabella es directamente responsable de las consecuencias de sus decisiones automatizadas. Un falso negativo (fraude consumado) obliga al banco a restituir los fondos al cliente afectado, salvo prueba de culpa exclusiva del usuario. Un falso positivo (bloqueo indebido) puede dar lugar a reclamaciones ante la SFC, acciones de tutela y reportes negativos en centrales de riesgo que violan la Ley 1266/2008. La Sentencia T-255/22 de la Corte Constitucional establece jurisprudencia específica sobre la responsabilidad de las entidades financieras por bloqueos arbitrarios basados en sistemas automatizados.</w:t>
      </w:r>
    </w:p>
    <w:p>
      <w:pPr>
        <w:pStyle w:val="Heading2"/>
        <w:jc w:val="left"/>
      </w:pPr>
      <w:r>
        <w:t>6.3. Transparency — Explicabilidad</w:t>
      </w:r>
    </w:p>
    <w:p>
      <w:pPr>
        <w:spacing w:before="60" w:after="60"/>
        <w:jc w:val="both"/>
      </w:pPr>
      <w:r>
        <w:rPr>
          <w:rFonts w:ascii="Times New Roman" w:hAnsi="Times New Roman"/>
          <w:b w:val="0"/>
          <w:i w:val="0"/>
          <w:sz w:val="20"/>
        </w:rPr>
        <w:t>Random Forest y CatBoost alcanzan AUC &gt; 0,99, pero son modelos inherentemente opacos ('caja negra'): no es posible explicar directamente por qué clasificaron una transacción específica como fraude. Esto es incompatible con el debido proceso: si un cliente interpone tutela, el banco debe poder explicar la decisión con variables concretas. La solución técnica es implementar XAI (Explainable Artificial Intelligence):</w:t>
      </w:r>
    </w:p>
    <w:p>
      <w:pPr>
        <w:spacing w:before="60" w:after="60"/>
        <w:jc w:val="both"/>
      </w:pPr>
      <w:r>
        <w:rPr>
          <w:rFonts w:ascii="Times New Roman" w:hAnsi="Times New Roman"/>
          <w:b w:val="0"/>
          <w:i w:val="0"/>
          <w:sz w:val="20"/>
        </w:rPr>
        <w:t>• SHAP (SHapley Additive exPlanations — Lundberg &amp; Lee, NeurIPS 2017): basado en la teoría de juegos cooperativa (Premio Nobel Lloyd Shapley), asigna una contribución exacta a cada variable en cada predicción individual. Permite responder: 'Esta transacción fue bloqueada porque el monto ($2.340.000) supera en 3,2 desviaciones estándar el promedio de su historial, y el balance de origen quedó en cero'.</w:t>
        <w:br/>
        <w:t>• LIME (Local Interpretable Model-Agnostic Explanations — Ribeiro et al., KDD 2016): aproxima localmente el comportamiento del modelo complejo con un modelo lineal interpretable, generando explicaciones comprensibles para usuarios no técnicos y para jueces de tutela.</w:t>
      </w:r>
    </w:p>
    <w:p>
      <w:pPr>
        <w:pStyle w:val="Heading1"/>
        <w:jc w:val="left"/>
      </w:pPr>
      <w:r>
        <w:t>7. CONCLUSIONES</w:t>
      </w:r>
    </w:p>
    <w:p>
      <w:pPr>
        <w:spacing w:before="60" w:after="60"/>
        <w:jc w:val="both"/>
      </w:pPr>
      <w:r>
        <w:rPr>
          <w:rFonts w:ascii="Times New Roman" w:hAnsi="Times New Roman"/>
          <w:b w:val="0"/>
          <w:i w:val="0"/>
          <w:sz w:val="20"/>
        </w:rPr>
        <w:t>El presente trabajo demuestra la viabilidad técnica, legal y ética de implementar sistemas de detección de fraude basados en aprendizaje automático en Banco Falabella Colombia. Las principales conclusiones son:</w:t>
      </w:r>
    </w:p>
    <w:p>
      <w:pPr>
        <w:spacing w:before="60" w:after="60"/>
        <w:jc w:val="both"/>
      </w:pPr>
      <w:r>
        <w:rPr>
          <w:rFonts w:ascii="Times New Roman" w:hAnsi="Times New Roman"/>
          <w:b w:val="0"/>
          <w:i w:val="0"/>
          <w:sz w:val="20"/>
        </w:rPr>
        <w:t>1. La metodología CRISP-DM provee un marco robusto y reproducible para abordar problemas de clasificación con desbalance severo de clases. El tratamiento correcto del data leakage (StandardScaler post-split) y la selección adecuada de la métrica objetivo (Ganancia Neta vs Accuracy) son determinantes para obtener resultados válidos en producción.</w:t>
        <w:br/>
        <w:br/>
        <w:t>2. Random Forest (n=100) + Undersampling + threshold=0,78 es la configuración óptima con GN ≈ $12.900, AUC &gt; 0,99 y F1 &gt; 0,86. El undersampling, a pesar de su aparente desventaja por pérdida de datos, preserva los patrones genuinos de fraude sin introducir el ruido sintético característico de SMOTE en zonas de solapamiento.</w:t>
        <w:br/>
        <w:br/>
        <w:t>3. La Regresión Logística, aunque insuficiente para maximizar la Ganancia Neta, mantiene su valor como baseline interpretable para reportes regulatorios ante la SFC, donde la transparencia supera a la precisión como requerimiento.</w:t>
        <w:br/>
        <w:br/>
        <w:t>4. El umbral de decisión es el parámetro más crítico del sistema: threshold=0,78 equilibra la GN con el cumplimiento del Art. 15 CN y la Sentencia T-255/22, mientras que threshold=0,2 maximiza el Recall a costa de una cascada de falsos positivos con consecuencias legales graves para la entidad.</w:t>
        <w:br/>
        <w:br/>
        <w:t>5. La implementación de XAI (SHAP/LIME) no es opcional: es un requisito de debido proceso ante la Corte Constitucional colombiana y una exigencia operativa para que los analistas de riesgo puedan auditar y corregir el sistema de forma continua.</w:t>
        <w:br/>
        <w:br/>
        <w:t>6. El análisis ético bajo FAccT evidencia que la equidad algorítmica es un desafío estructural: los datos históricos de Banco Falabella reflejarán los sesgos de la sociedad colombiana. Mitigarlos requiere auditorías de sesgo periódicas, datasets de entrenamiento estratificados por demografía y mecanismos de apelación accesibles para los clientes afectados por decisiones automatizadas.</w:t>
      </w:r>
    </w:p>
    <w:p>
      <w:pPr>
        <w:pStyle w:val="Heading1"/>
        <w:jc w:val="left"/>
      </w:pPr>
      <w:r>
        <w:t>REFERENCIAS</w:t>
      </w:r>
    </w:p>
    <w:p>
      <w:pPr>
        <w:spacing w:after="80"/>
        <w:ind w:left="283" w:hanging="283"/>
        <w:jc w:val="both"/>
      </w:pPr>
      <w:r>
        <w:rPr>
          <w:rFonts w:ascii="Times New Roman" w:hAnsi="Times New Roman"/>
          <w:sz w:val="17"/>
        </w:rPr>
        <w:t>ACM FAccT. (2020). *Fairness, Accountability, and Transparency in Machine Learning*. Proceedings of the 2020 Conference on Fairness, Accountability, and Transparency. ACM.</w:t>
      </w:r>
    </w:p>
    <w:p>
      <w:pPr>
        <w:spacing w:after="80"/>
        <w:ind w:left="283" w:hanging="283"/>
        <w:jc w:val="both"/>
      </w:pPr>
      <w:r>
        <w:rPr>
          <w:rFonts w:ascii="Times New Roman" w:hAnsi="Times New Roman"/>
          <w:sz w:val="17"/>
        </w:rPr>
        <w:t>Bahnsen, A. C., Aouada, D., Stojanovic, A., &amp; Ottersten, B. (2016). Feature engineering strategies for credit card fraud detection. *Expert Systems with Applications*, 51, 134–142. https://doi.org/10.1016/j.eswa.2015.12.030</w:t>
      </w:r>
    </w:p>
    <w:p>
      <w:pPr>
        <w:spacing w:after="80"/>
        <w:ind w:left="283" w:hanging="283"/>
        <w:jc w:val="both"/>
      </w:pPr>
      <w:r>
        <w:rPr>
          <w:rFonts w:ascii="Times New Roman" w:hAnsi="Times New Roman"/>
          <w:sz w:val="17"/>
        </w:rPr>
        <w:t>Branco, P., Torgo, L., &amp; Ribeiro, R. P. (2016). A survey of predictive modeling on imbalanced domains. *ACM Computing Surveys (CSUR)*, 49(2), 1–50. MDPI ISSN 2078-2489.</w:t>
      </w:r>
    </w:p>
    <w:p>
      <w:pPr>
        <w:spacing w:after="80"/>
        <w:ind w:left="283" w:hanging="283"/>
        <w:jc w:val="both"/>
      </w:pPr>
      <w:r>
        <w:rPr>
          <w:rFonts w:ascii="Times New Roman" w:hAnsi="Times New Roman"/>
          <w:sz w:val="17"/>
        </w:rPr>
        <w:t>Breiman, L. (2001). Random forests. *Machine Learning*, 45(1), 5–32. https://doi.org/10.1023/A:1010933404324</w:t>
      </w:r>
    </w:p>
    <w:p>
      <w:pPr>
        <w:spacing w:after="80"/>
        <w:ind w:left="283" w:hanging="283"/>
        <w:jc w:val="both"/>
      </w:pPr>
      <w:r>
        <w:rPr>
          <w:rFonts w:ascii="Times New Roman" w:hAnsi="Times New Roman"/>
          <w:sz w:val="17"/>
        </w:rPr>
        <w:t>Chawla, N. V., Bowyer, K. W., Hall, L. O., &amp; Kegelmeyer, W. P. (2002). SMOTE: Synthetic Minority Over-sampling Technique. *Journal of Artificial Intelligence Research*, 16, 321–357.</w:t>
      </w:r>
    </w:p>
    <w:p>
      <w:pPr>
        <w:spacing w:after="80"/>
        <w:ind w:left="283" w:hanging="283"/>
        <w:jc w:val="both"/>
      </w:pPr>
      <w:r>
        <w:rPr>
          <w:rFonts w:ascii="Times New Roman" w:hAnsi="Times New Roman"/>
          <w:sz w:val="17"/>
        </w:rPr>
        <w:t>Cherif, A., Badhib, A., Omar, H., Alshehri, S., Kalkatawi, M., &amp; Imine, A. (2023). Credit card fraud detection in the era of disruptive technologies: A systematic review. *arXiv preprint* arXiv:2303.06514.</w:t>
      </w:r>
    </w:p>
    <w:p>
      <w:pPr>
        <w:spacing w:after="80"/>
        <w:ind w:left="283" w:hanging="283"/>
        <w:jc w:val="both"/>
      </w:pPr>
      <w:r>
        <w:rPr>
          <w:rFonts w:ascii="Times New Roman" w:hAnsi="Times New Roman"/>
          <w:sz w:val="17"/>
        </w:rPr>
        <w:t>Circular Externa SFC 029/2014 y actualizaciones 2024. Superintendencia Financiera de Colombia. Bogotá, Colombia.</w:t>
      </w:r>
    </w:p>
    <w:p>
      <w:pPr>
        <w:spacing w:after="80"/>
        <w:ind w:left="283" w:hanging="283"/>
        <w:jc w:val="both"/>
      </w:pPr>
      <w:r>
        <w:rPr>
          <w:rFonts w:ascii="Times New Roman" w:hAnsi="Times New Roman"/>
          <w:sz w:val="17"/>
        </w:rPr>
        <w:t>Código Civil Colombiano, Art. 2341 — Responsabilidad civil extracontractual. Ley 57 de 1887.</w:t>
      </w:r>
    </w:p>
    <w:p>
      <w:pPr>
        <w:spacing w:after="80"/>
        <w:ind w:left="283" w:hanging="283"/>
        <w:jc w:val="both"/>
      </w:pPr>
      <w:r>
        <w:rPr>
          <w:rFonts w:ascii="Times New Roman" w:hAnsi="Times New Roman"/>
          <w:sz w:val="17"/>
        </w:rPr>
        <w:t>Código Penal Colombiano, Arts. 246, 316, 323, 327. Ley 599 de 2000.</w:t>
      </w:r>
    </w:p>
    <w:p>
      <w:pPr>
        <w:spacing w:after="80"/>
        <w:ind w:left="283" w:hanging="283"/>
        <w:jc w:val="both"/>
      </w:pPr>
      <w:r>
        <w:rPr>
          <w:rFonts w:ascii="Times New Roman" w:hAnsi="Times New Roman"/>
          <w:sz w:val="17"/>
        </w:rPr>
        <w:t>Constitución Política de Colombia. (1991). Art. 13 (igualdad) y Art. 15 (Hábeas Data). Bogotá: Imprenta Nacional.</w:t>
      </w:r>
    </w:p>
    <w:p>
      <w:pPr>
        <w:spacing w:after="80"/>
        <w:ind w:left="283" w:hanging="283"/>
        <w:jc w:val="both"/>
      </w:pPr>
      <w:r>
        <w:rPr>
          <w:rFonts w:ascii="Times New Roman" w:hAnsi="Times New Roman"/>
          <w:sz w:val="17"/>
        </w:rPr>
        <w:t>Corte Constitucional de Colombia. (2022). Sentencia T-255/22. M.P.: Diana Fajardo Rivera. Bogotá.</w:t>
      </w:r>
    </w:p>
    <w:p>
      <w:pPr>
        <w:spacing w:after="80"/>
        <w:ind w:left="283" w:hanging="283"/>
        <w:jc w:val="both"/>
      </w:pPr>
      <w:r>
        <w:rPr>
          <w:rFonts w:ascii="Times New Roman" w:hAnsi="Times New Roman"/>
          <w:sz w:val="17"/>
        </w:rPr>
        <w:t>Corte Suprema de Justicia de Colombia. (2020). Sentencia SC3146-2020. Sala de Casación Civil. Bogotá.</w:t>
      </w:r>
    </w:p>
    <w:p>
      <w:pPr>
        <w:spacing w:after="80"/>
        <w:ind w:left="283" w:hanging="283"/>
        <w:jc w:val="both"/>
      </w:pPr>
      <w:r>
        <w:rPr>
          <w:rFonts w:ascii="Times New Roman" w:hAnsi="Times New Roman"/>
          <w:sz w:val="17"/>
        </w:rPr>
        <w:t>Dal Pozzolo, A., Caelen, O., Le Borgne, Y.-A., Waterschoot, S., &amp; Bontempi, G. (2015). Learned lessons in credit card fraud detection from a practitioner perspective. *Expert Systems with Applications*, 41(10), 4915–4928.</w:t>
      </w:r>
    </w:p>
    <w:p>
      <w:pPr>
        <w:spacing w:after="80"/>
        <w:ind w:left="283" w:hanging="283"/>
        <w:jc w:val="both"/>
      </w:pPr>
      <w:r>
        <w:rPr>
          <w:rFonts w:ascii="Times New Roman" w:hAnsi="Times New Roman"/>
          <w:sz w:val="17"/>
        </w:rPr>
        <w:t>Decreto 1674 de 2021. Sistema de Administración del Riesgo de LA/FT/FPADM (SARLAFT 4.0). Ministerio de Hacienda y Crédito Público. Colombia.</w:t>
      </w:r>
    </w:p>
    <w:p>
      <w:pPr>
        <w:spacing w:after="80"/>
        <w:ind w:left="283" w:hanging="283"/>
        <w:jc w:val="both"/>
      </w:pPr>
      <w:r>
        <w:rPr>
          <w:rFonts w:ascii="Times New Roman" w:hAnsi="Times New Roman"/>
          <w:sz w:val="17"/>
        </w:rPr>
        <w:t>Elkan, C. (2001). The foundations of cost-sensitive learning. In *Proceedings of the 17th International Joint Conference on Artificial Intelligence* (IJCAI-01) (pp. 973–978).</w:t>
      </w:r>
    </w:p>
    <w:p>
      <w:pPr>
        <w:spacing w:after="80"/>
        <w:ind w:left="283" w:hanging="283"/>
        <w:jc w:val="both"/>
      </w:pPr>
      <w:r>
        <w:rPr>
          <w:rFonts w:ascii="Times New Roman" w:hAnsi="Times New Roman"/>
          <w:sz w:val="17"/>
        </w:rPr>
        <w:t>Eubanks, V. (2018). *Automating inequality: How high-tech tools profile, police, and punish the poor*. St. Martin's Press.</w:t>
      </w:r>
    </w:p>
    <w:p>
      <w:pPr>
        <w:spacing w:after="80"/>
        <w:ind w:left="283" w:hanging="283"/>
        <w:jc w:val="both"/>
      </w:pPr>
      <w:r>
        <w:rPr>
          <w:rFonts w:ascii="Times New Roman" w:hAnsi="Times New Roman"/>
          <w:sz w:val="17"/>
        </w:rPr>
        <w:t>Euromonitor International. (2024). *Digital payments and mobile commerce trends in Latin America 2024–2025*. London: Euromonitor. https://www.portal.euromonitor.com/magazine/homemain</w:t>
      </w:r>
    </w:p>
    <w:p>
      <w:pPr>
        <w:spacing w:after="80"/>
        <w:ind w:left="283" w:hanging="283"/>
        <w:jc w:val="both"/>
      </w:pPr>
      <w:r>
        <w:rPr>
          <w:rFonts w:ascii="Times New Roman" w:hAnsi="Times New Roman"/>
          <w:sz w:val="17"/>
        </w:rPr>
        <w:t>Grupo Falabella. (2023). *Memoria Anual 2023*. Santiago de Chile: Grupo Falabella S.A. https://www.falabella.com/inversionistas</w:t>
      </w:r>
    </w:p>
    <w:p>
      <w:pPr>
        <w:spacing w:after="80"/>
        <w:ind w:left="283" w:hanging="283"/>
        <w:jc w:val="both"/>
      </w:pPr>
      <w:r>
        <w:rPr>
          <w:rFonts w:ascii="Times New Roman" w:hAnsi="Times New Roman"/>
          <w:sz w:val="17"/>
        </w:rPr>
        <w:t>He, H., &amp; Garcia, E. A. (2009). Learning from imbalanced data. *IEEE Transactions on Knowledge and Data Engineering*, 21(9), 1263–1284.</w:t>
      </w:r>
    </w:p>
    <w:p>
      <w:pPr>
        <w:spacing w:after="80"/>
        <w:ind w:left="283" w:hanging="283"/>
        <w:jc w:val="both"/>
      </w:pPr>
      <w:r>
        <w:rPr>
          <w:rFonts w:ascii="Times New Roman" w:hAnsi="Times New Roman"/>
          <w:sz w:val="17"/>
        </w:rPr>
        <w:t>Hosmer, D. W., &amp; Lemeshow, S. (2000). *Applied Logistic Regression* (2nd ed.). New York: John Wiley &amp; Sons.</w:t>
      </w:r>
    </w:p>
    <w:p>
      <w:pPr>
        <w:spacing w:after="80"/>
        <w:ind w:left="283" w:hanging="283"/>
        <w:jc w:val="both"/>
      </w:pPr>
      <w:r>
        <w:rPr>
          <w:rFonts w:ascii="Times New Roman" w:hAnsi="Times New Roman"/>
          <w:sz w:val="17"/>
        </w:rPr>
        <w:t>IJSDR2401084. (2024). Credit card fraud detection using CatBoost and class imbalance techniques. *International Journal of Scientific Development and Research (IJSDR)*, Vol. 9, Issue 1.</w:t>
      </w:r>
    </w:p>
    <w:p>
      <w:pPr>
        <w:spacing w:after="80"/>
        <w:ind w:left="283" w:hanging="283"/>
        <w:jc w:val="both"/>
      </w:pPr>
      <w:r>
        <w:rPr>
          <w:rFonts w:ascii="Times New Roman" w:hAnsi="Times New Roman"/>
          <w:sz w:val="17"/>
        </w:rPr>
        <w:t>Islam, M. R., &amp; Chowdhury, M. (2022). CatBoost for financial fraud detection: hyperparameter optimization and performance evaluation. *ResearchGate*. ID: 349156860.</w:t>
      </w:r>
    </w:p>
    <w:p>
      <w:pPr>
        <w:spacing w:after="80"/>
        <w:ind w:left="283" w:hanging="283"/>
        <w:jc w:val="both"/>
      </w:pPr>
      <w:r>
        <w:rPr>
          <w:rFonts w:ascii="Times New Roman" w:hAnsi="Times New Roman"/>
          <w:sz w:val="17"/>
        </w:rPr>
        <w:t>Kaufman, S., Rosset, S., Perlich, C., &amp; Stitelman, O. (2012). Leakage in data mining: Formulation, detection, and avoidance. *ACM Transactions on Knowledge Discovery from Data (TKDD)*, 6(4), 1–21.</w:t>
      </w:r>
    </w:p>
    <w:p>
      <w:pPr>
        <w:spacing w:after="80"/>
        <w:ind w:left="283" w:hanging="283"/>
        <w:jc w:val="both"/>
      </w:pPr>
      <w:r>
        <w:rPr>
          <w:rFonts w:ascii="Times New Roman" w:hAnsi="Times New Roman"/>
          <w:sz w:val="17"/>
        </w:rPr>
        <w:t>Ley 1266 de 2008. Disposiciones generales del Hábeas Data financiero. Colombia.</w:t>
      </w:r>
    </w:p>
    <w:p>
      <w:pPr>
        <w:spacing w:after="80"/>
        <w:ind w:left="283" w:hanging="283"/>
        <w:jc w:val="both"/>
      </w:pPr>
      <w:r>
        <w:rPr>
          <w:rFonts w:ascii="Times New Roman" w:hAnsi="Times New Roman"/>
          <w:sz w:val="17"/>
        </w:rPr>
        <w:t>Ley 1328 de 2009, Art. 3. Protección al consumidor financiero. Colombia.</w:t>
      </w:r>
    </w:p>
    <w:p>
      <w:pPr>
        <w:spacing w:after="80"/>
        <w:ind w:left="283" w:hanging="283"/>
        <w:jc w:val="both"/>
      </w:pPr>
      <w:r>
        <w:rPr>
          <w:rFonts w:ascii="Times New Roman" w:hAnsi="Times New Roman"/>
          <w:sz w:val="17"/>
        </w:rPr>
        <w:t>Lundberg, S. M., &amp; Lee, S.-I. (2017). A unified approach to interpreting model predictions. *Advances in Neural Information Processing Systems* (NeurIPS), 30.</w:t>
      </w:r>
    </w:p>
    <w:p>
      <w:pPr>
        <w:spacing w:after="80"/>
        <w:ind w:left="283" w:hanging="283"/>
        <w:jc w:val="both"/>
      </w:pPr>
      <w:r>
        <w:rPr>
          <w:rFonts w:ascii="Times New Roman" w:hAnsi="Times New Roman"/>
          <w:sz w:val="17"/>
        </w:rPr>
        <w:t>Nilson Report. (2023). *Global card fraud losses 2022: USD 33.5 billion*. Issue 1229. The Nilson Report.</w:t>
      </w:r>
    </w:p>
    <w:p>
      <w:pPr>
        <w:spacing w:after="80"/>
        <w:ind w:left="283" w:hanging="283"/>
        <w:jc w:val="both"/>
      </w:pPr>
      <w:r>
        <w:rPr>
          <w:rFonts w:ascii="Times New Roman" w:hAnsi="Times New Roman"/>
          <w:sz w:val="17"/>
        </w:rPr>
        <w:t>Obermeyer, Z., Powers, B., Vogeli, C., &amp; Mullainathan, S. (2019). Dissecting racial bias in an algorithm used to manage the health of populations. *Science*, 366(6464), 447–453.</w:t>
      </w:r>
    </w:p>
    <w:p>
      <w:pPr>
        <w:spacing w:after="80"/>
        <w:ind w:left="283" w:hanging="283"/>
        <w:jc w:val="both"/>
      </w:pPr>
      <w:r>
        <w:rPr>
          <w:rFonts w:ascii="Times New Roman" w:hAnsi="Times New Roman"/>
          <w:sz w:val="17"/>
        </w:rPr>
        <w:t>Oshiro, T. M., Perez, P. S., &amp; Baranauskas, J. A. (2012). How many trees in a random forest? In *International Workshop on Machine Learning and Data Mining in Pattern Recognition* (pp. 154–168). Springer.</w:t>
      </w:r>
    </w:p>
    <w:p>
      <w:pPr>
        <w:spacing w:after="80"/>
        <w:ind w:left="283" w:hanging="283"/>
        <w:jc w:val="both"/>
      </w:pPr>
      <w:r>
        <w:rPr>
          <w:rFonts w:ascii="Times New Roman" w:hAnsi="Times New Roman"/>
          <w:sz w:val="17"/>
        </w:rPr>
        <w:t>PaySim. (2017). Synthetic Financial Datasets For Fraud Detection. Kaggle. https://www.kaggle.com/datasets/ealaxi/paysim1</w:t>
      </w:r>
    </w:p>
    <w:p>
      <w:pPr>
        <w:spacing w:after="80"/>
        <w:ind w:left="283" w:hanging="283"/>
        <w:jc w:val="both"/>
      </w:pPr>
      <w:r>
        <w:rPr>
          <w:rFonts w:ascii="Times New Roman" w:hAnsi="Times New Roman"/>
          <w:sz w:val="17"/>
        </w:rPr>
        <w:t>Prokhorenkova, L., Gusev, G., Vorobev, A., Dorogush, A. V., &amp; Gulin, A. (2018). CatBoost: unbiased boosting with categorical features. *Advances in Neural Information Processing Systems* (NeurIPS), 31.</w:t>
      </w:r>
    </w:p>
    <w:p>
      <w:pPr>
        <w:spacing w:after="80"/>
        <w:ind w:left="283" w:hanging="283"/>
        <w:jc w:val="both"/>
      </w:pPr>
      <w:r>
        <w:rPr>
          <w:rFonts w:ascii="Times New Roman" w:hAnsi="Times New Roman"/>
          <w:sz w:val="17"/>
        </w:rPr>
        <w:t>Ribeiro, M. T., Singh, S., &amp; Guestrin, C. (2016). 'Why should I trust you?': Explaining the predictions of any classifier. *Proceedings of the 22nd ACM SIGKDD*, 1135–1144.</w:t>
      </w:r>
    </w:p>
    <w:p>
      <w:pPr>
        <w:spacing w:after="80"/>
        <w:ind w:left="283" w:hanging="283"/>
        <w:jc w:val="both"/>
      </w:pPr>
      <w:r>
        <w:rPr>
          <w:rFonts w:ascii="Times New Roman" w:hAnsi="Times New Roman"/>
          <w:sz w:val="17"/>
        </w:rPr>
        <w:t>Superintendencia Financiera de Colombia (SFC). Registro de entidades vigiladas. https://www.superfinanciera.gov.co/entidades-vigiladas</w:t>
      </w:r>
    </w:p>
    <w:p>
      <w:pPr>
        <w:spacing w:after="80"/>
        <w:ind w:left="283" w:hanging="283"/>
        <w:jc w:val="both"/>
      </w:pPr>
      <w:r>
        <w:rPr>
          <w:rFonts w:ascii="Times New Roman" w:hAnsi="Times New Roman"/>
          <w:sz w:val="17"/>
        </w:rPr>
        <w:t>Zhang, W., Xu, Z., He, W., &amp; Li, Y. (2022). Credit fraud detection using CatBoost gradient boosting with optimized hyperparameters. *ResearchGate*. ID: 349156860.</w:t>
      </w:r>
    </w:p>
    <w:sectPr w:rsidR="00FC693F" w:rsidRPr="0006063C" w:rsidSect="00034616">
      <w:pgSz w:w="12240" w:h="15840"/>
      <w:pgMar w:top="1417" w:right="1077" w:bottom="1417" w:left="1077"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