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International,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spacing w:before="60" w:after="60"/>
        <w:jc w:val="both"/>
      </w:pPr>
      <w:r>
        <w:rPr>
          <w:rFonts w:ascii="Times New Roman" w:hAnsi="Times New Roman"/>
          <w:b w:val="0"/>
          <w:i w:val="0"/>
          <w:sz w:val="20"/>
        </w:rPr>
        <w:t>Según Euromonitor International — Passport (2024), en el mercado colombiano de servicios financieros digitales se registran tendencias críticas que aumentan la exposición al fraude: (i) el volumen de transacciones de banca digital creció un 38% entre 2022 y 2024, superando los COP 1.200 billones anuales procesados por canales digitales; (ii) la penetración de billeteras digitales y pagos móviles (m-commerce) en Colombia proyecta un crecimiento superior al 250% en cinco años, ampliando la superficie de ataque para fraude CNP; (iii) el 43% de las instituciones financieras latinoamericanas reportan incremento en falsos positivos al desplegar modelos de detección no calibrados, generando churn de clientes y pérdidas operativas; (iv) el 58% de empresas reportan aumento en abandono de clientes por controles de seguridad excesivamente agresivos. Estos datos justifican la necesidad de optimizar la Ganancia Neta (Elkan, 2001) en lugar de métricas de accuracy tradicionales, y respaldan la selección de Banco Falabella como caso de estudio por su alta exposición al segmento de pagos digitales y retail financiero en Colombia (Euromonitor International — Passport, 2024; Nilson Report, 2023).</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Justificación del Muestreo</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spacing w:before="60" w:after="60"/>
        <w:jc w:val="both"/>
      </w:pPr>
      <w:r>
        <w:rPr>
          <w:rFonts w:ascii="Times New Roman" w:hAnsi="Times New Roman"/>
          <w:b w:val="0"/>
          <w:i w:val="0"/>
          <w:sz w:val="20"/>
        </w:rPr>
        <w:t>Dado que el dataset completo (471 MB) supera los recursos de memoria disponibles (8 GB RAM), se implementó una estrategia de muestreo deliberada: se conservaron la totalidad de los 8.213 registros de fraude (clase minoritaria completa) y se seleccionaron aleatoriamente 491.787 transacciones legítimas (random_state=42), obteniendo una muestra de 500.000 registros. La tabla siguiente compara la distribución original vs. la muestra:</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6"/>
              </w:rPr>
              <w:t>Métrica</w:t>
            </w:r>
          </w:p>
        </w:tc>
        <w:tc>
          <w:tcPr>
            <w:tcW w:type="dxa" w:w="3362"/>
          </w:tcPr>
          <w:p>
            <w:r>
              <w:rPr>
                <w:rFonts w:ascii="Times New Roman" w:hAnsi="Times New Roman"/>
                <w:b/>
                <w:sz w:val="16"/>
              </w:rPr>
              <w:t>Dataset original</w:t>
            </w:r>
          </w:p>
        </w:tc>
        <w:tc>
          <w:tcPr>
            <w:tcW w:type="dxa" w:w="3362"/>
          </w:tcPr>
          <w:p>
            <w:r>
              <w:rPr>
                <w:rFonts w:ascii="Times New Roman" w:hAnsi="Times New Roman"/>
                <w:b/>
                <w:sz w:val="16"/>
              </w:rPr>
              <w:t>Muestra (500k)</w:t>
            </w:r>
          </w:p>
        </w:tc>
      </w:tr>
      <w:tr>
        <w:tc>
          <w:tcPr>
            <w:tcW w:type="dxa" w:w="3362"/>
          </w:tcPr>
          <w:p>
            <w:r>
              <w:rPr>
                <w:rFonts w:ascii="Times New Roman" w:hAnsi="Times New Roman"/>
                <w:sz w:val="16"/>
              </w:rPr>
              <w:t>Total filas</w:t>
            </w:r>
          </w:p>
        </w:tc>
        <w:tc>
          <w:tcPr>
            <w:tcW w:type="dxa" w:w="3362"/>
          </w:tcPr>
          <w:p>
            <w:r>
              <w:rPr>
                <w:rFonts w:ascii="Times New Roman" w:hAnsi="Times New Roman"/>
                <w:sz w:val="16"/>
              </w:rPr>
              <w:t>6.362.620</w:t>
            </w:r>
          </w:p>
        </w:tc>
        <w:tc>
          <w:tcPr>
            <w:tcW w:type="dxa" w:w="3362"/>
          </w:tcPr>
          <w:p>
            <w:r>
              <w:rPr>
                <w:rFonts w:ascii="Times New Roman" w:hAnsi="Times New Roman"/>
                <w:sz w:val="16"/>
              </w:rPr>
              <w:t>500.000</w:t>
            </w:r>
          </w:p>
        </w:tc>
      </w:tr>
      <w:tr>
        <w:tc>
          <w:tcPr>
            <w:tcW w:type="dxa" w:w="3362"/>
          </w:tcPr>
          <w:p>
            <w:r>
              <w:rPr>
                <w:rFonts w:ascii="Times New Roman" w:hAnsi="Times New Roman"/>
                <w:sz w:val="16"/>
              </w:rPr>
              <w:t>Registros fraude</w:t>
            </w:r>
          </w:p>
        </w:tc>
        <w:tc>
          <w:tcPr>
            <w:tcW w:type="dxa" w:w="3362"/>
          </w:tcPr>
          <w:p>
            <w:r>
              <w:rPr>
                <w:rFonts w:ascii="Times New Roman" w:hAnsi="Times New Roman"/>
                <w:sz w:val="16"/>
              </w:rPr>
              <w:t>8.213</w:t>
            </w:r>
          </w:p>
        </w:tc>
        <w:tc>
          <w:tcPr>
            <w:tcW w:type="dxa" w:w="3362"/>
          </w:tcPr>
          <w:p>
            <w:r>
              <w:rPr>
                <w:rFonts w:ascii="Times New Roman" w:hAnsi="Times New Roman"/>
                <w:sz w:val="16"/>
              </w:rPr>
              <w:t>8.213</w:t>
            </w:r>
          </w:p>
        </w:tc>
      </w:tr>
      <w:tr>
        <w:tc>
          <w:tcPr>
            <w:tcW w:type="dxa" w:w="3362"/>
          </w:tcPr>
          <w:p>
            <w:r>
              <w:rPr>
                <w:rFonts w:ascii="Times New Roman" w:hAnsi="Times New Roman"/>
                <w:sz w:val="16"/>
              </w:rPr>
              <w:t>Registros legítimos</w:t>
            </w:r>
          </w:p>
        </w:tc>
        <w:tc>
          <w:tcPr>
            <w:tcW w:type="dxa" w:w="3362"/>
          </w:tcPr>
          <w:p>
            <w:r>
              <w:rPr>
                <w:rFonts w:ascii="Times New Roman" w:hAnsi="Times New Roman"/>
                <w:sz w:val="16"/>
              </w:rPr>
              <w:t>6.354.407</w:t>
            </w:r>
          </w:p>
        </w:tc>
        <w:tc>
          <w:tcPr>
            <w:tcW w:type="dxa" w:w="3362"/>
          </w:tcPr>
          <w:p>
            <w:r>
              <w:rPr>
                <w:rFonts w:ascii="Times New Roman" w:hAnsi="Times New Roman"/>
                <w:sz w:val="16"/>
              </w:rPr>
              <w:t>491.787</w:t>
            </w:r>
          </w:p>
        </w:tc>
      </w:tr>
      <w:tr>
        <w:tc>
          <w:tcPr>
            <w:tcW w:type="dxa" w:w="3362"/>
          </w:tcPr>
          <w:p>
            <w:r>
              <w:rPr>
                <w:rFonts w:ascii="Times New Roman" w:hAnsi="Times New Roman"/>
                <w:sz w:val="16"/>
              </w:rPr>
              <w:t>% Fraude</w:t>
            </w:r>
          </w:p>
        </w:tc>
        <w:tc>
          <w:tcPr>
            <w:tcW w:type="dxa" w:w="3362"/>
          </w:tcPr>
          <w:p>
            <w:r>
              <w:rPr>
                <w:rFonts w:ascii="Times New Roman" w:hAnsi="Times New Roman"/>
                <w:sz w:val="16"/>
              </w:rPr>
              <w:t>0,129%</w:t>
            </w:r>
          </w:p>
        </w:tc>
        <w:tc>
          <w:tcPr>
            <w:tcW w:type="dxa" w:w="3362"/>
          </w:tcPr>
          <w:p>
            <w:r>
              <w:rPr>
                <w:rFonts w:ascii="Times New Roman" w:hAnsi="Times New Roman"/>
                <w:sz w:val="16"/>
              </w:rPr>
              <w:t>1,643%</w:t>
            </w:r>
          </w:p>
        </w:tc>
      </w:tr>
      <w:tr>
        <w:tc>
          <w:tcPr>
            <w:tcW w:type="dxa" w:w="3362"/>
          </w:tcPr>
          <w:p>
            <w:r>
              <w:rPr>
                <w:rFonts w:ascii="Times New Roman" w:hAnsi="Times New Roman"/>
                <w:sz w:val="16"/>
              </w:rPr>
              <w:t>Todos los fraudes preservados</w:t>
            </w:r>
          </w:p>
        </w:tc>
        <w:tc>
          <w:tcPr>
            <w:tcW w:type="dxa" w:w="3362"/>
          </w:tcPr>
          <w:p>
            <w:r>
              <w:rPr>
                <w:rFonts w:ascii="Times New Roman" w:hAnsi="Times New Roman"/>
                <w:sz w:val="16"/>
              </w:rPr>
              <w:t>—</w:t>
            </w:r>
          </w:p>
        </w:tc>
        <w:tc>
          <w:tcPr>
            <w:tcW w:type="dxa" w:w="3362"/>
          </w:tcPr>
          <w:p>
            <w:r>
              <w:rPr>
                <w:rFonts w:ascii="Times New Roman" w:hAnsi="Times New Roman"/>
                <w:sz w:val="16"/>
              </w:rPr>
              <w:t>✓ 100%</w:t>
            </w:r>
          </w:p>
        </w:tc>
      </w:tr>
    </w:tbl>
    <w:p>
      <w:pPr>
        <w:jc w:val="center"/>
      </w:pPr>
      <w:r>
        <w:rPr>
          <w:rFonts w:ascii="Times New Roman" w:hAnsi="Times New Roman"/>
          <w:i/>
          <w:sz w:val="16"/>
        </w:rPr>
        <w:t>Tabla 1. Comparación distribución original vs. muestra estratificada.</w:t>
        <w:br/>
        <w:t>La clase minoritaria (fraude) se preserva íntegramente para maximizar la información disponible sobre patrones de fraude (Chawla et al., 2002; He &amp; Garcia, 2009).</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Con Oversampling, el modelo RF(100) accede a todos los datos originales de fraude replicados hasta igualar la clase mayoritaria, aprendiendo límites de decisión más ricos. Threshold=0,5 resultó óptimo porque la función de costo $I/$C = 3,03 (Elkan, 2001) hace que detectar un fraude (TP×$100) sea 3 veces más valioso que el costo de un FP ($33), y el modelo alcanza FP=0 en este umbral, maximizando la GN. Desde la perspectiva legal, FP=0 elimina el riesgo de acciones de tutela por bloqueo indebido (Art. 15 CN, Sentencia T-255/22 — Corte Constitucional, 2022).</w:t>
      </w:r>
    </w:p>
    <w:p>
      <w:pPr>
        <w:spacing w:before="60" w:after="60"/>
        <w:jc w:val="both"/>
      </w:pPr>
      <w:r>
        <w:rPr>
          <w:rFonts w:ascii="Times New Roman" w:hAnsi="Times New Roman"/>
          <w:b/>
          <w:i w:val="0"/>
          <w:sz w:val="18"/>
        </w:rPr>
        <w:t>Tabla 2. Métricas completas del modelo ganador (X_test fijo, 20% estratificado):</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4"/>
              </w:rPr>
              <w:t>Modelo</w:t>
            </w:r>
          </w:p>
        </w:tc>
        <w:tc>
          <w:tcPr>
            <w:tcW w:type="dxa" w:w="840"/>
          </w:tcPr>
          <w:p>
            <w:r>
              <w:rPr>
                <w:rFonts w:ascii="Times New Roman" w:hAnsi="Times New Roman"/>
                <w:b/>
                <w:sz w:val="14"/>
              </w:rPr>
              <w:t>Dataset</w:t>
            </w:r>
          </w:p>
        </w:tc>
        <w:tc>
          <w:tcPr>
            <w:tcW w:type="dxa" w:w="840"/>
          </w:tcPr>
          <w:p>
            <w:r>
              <w:rPr>
                <w:rFonts w:ascii="Times New Roman" w:hAnsi="Times New Roman"/>
                <w:b/>
                <w:sz w:val="14"/>
              </w:rPr>
              <w:t>Threshold</w:t>
            </w:r>
          </w:p>
        </w:tc>
        <w:tc>
          <w:tcPr>
            <w:tcW w:type="dxa" w:w="840"/>
          </w:tcPr>
          <w:p>
            <w:r>
              <w:rPr>
                <w:rFonts w:ascii="Times New Roman" w:hAnsi="Times New Roman"/>
                <w:b/>
                <w:sz w:val="14"/>
              </w:rPr>
              <w:t>TP</w:t>
            </w:r>
          </w:p>
        </w:tc>
        <w:tc>
          <w:tcPr>
            <w:tcW w:type="dxa" w:w="840"/>
          </w:tcPr>
          <w:p>
            <w:r>
              <w:rPr>
                <w:rFonts w:ascii="Times New Roman" w:hAnsi="Times New Roman"/>
                <w:b/>
                <w:sz w:val="14"/>
              </w:rPr>
              <w:t>FP</w:t>
            </w:r>
          </w:p>
        </w:tc>
        <w:tc>
          <w:tcPr>
            <w:tcW w:type="dxa" w:w="840"/>
          </w:tcPr>
          <w:p>
            <w:r>
              <w:rPr>
                <w:rFonts w:ascii="Times New Roman" w:hAnsi="Times New Roman"/>
                <w:b/>
                <w:sz w:val="14"/>
              </w:rPr>
              <w:t>FN</w:t>
            </w:r>
          </w:p>
        </w:tc>
        <w:tc>
          <w:tcPr>
            <w:tcW w:type="dxa" w:w="840"/>
          </w:tcPr>
          <w:p>
            <w:r>
              <w:rPr>
                <w:rFonts w:ascii="Times New Roman" w:hAnsi="Times New Roman"/>
                <w:b/>
                <w:sz w:val="14"/>
              </w:rPr>
              <w:t>TN</w:t>
            </w:r>
          </w:p>
        </w:tc>
        <w:tc>
          <w:tcPr>
            <w:tcW w:type="dxa" w:w="840"/>
          </w:tcPr>
          <w:p>
            <w:r>
              <w:rPr>
                <w:rFonts w:ascii="Times New Roman" w:hAnsi="Times New Roman"/>
                <w:b/>
                <w:sz w:val="14"/>
              </w:rPr>
              <w:t>Precision</w:t>
            </w:r>
          </w:p>
        </w:tc>
        <w:tc>
          <w:tcPr>
            <w:tcW w:type="dxa" w:w="840"/>
          </w:tcPr>
          <w:p>
            <w:r>
              <w:rPr>
                <w:rFonts w:ascii="Times New Roman" w:hAnsi="Times New Roman"/>
                <w:b/>
                <w:sz w:val="14"/>
              </w:rPr>
              <w:t>Recall</w:t>
            </w:r>
          </w:p>
        </w:tc>
        <w:tc>
          <w:tcPr>
            <w:tcW w:type="dxa" w:w="840"/>
          </w:tcPr>
          <w:p>
            <w:r>
              <w:rPr>
                <w:rFonts w:ascii="Times New Roman" w:hAnsi="Times New Roman"/>
                <w:b/>
                <w:sz w:val="14"/>
              </w:rPr>
              <w:t>F1</w:t>
            </w:r>
          </w:p>
        </w:tc>
        <w:tc>
          <w:tcPr>
            <w:tcW w:type="dxa" w:w="840"/>
          </w:tcPr>
          <w:p>
            <w:r>
              <w:rPr>
                <w:rFonts w:ascii="Times New Roman" w:hAnsi="Times New Roman"/>
                <w:b/>
                <w:sz w:val="14"/>
              </w:rPr>
              <w:t>AUC</w:t>
            </w:r>
          </w:p>
        </w:tc>
        <w:tc>
          <w:tcPr>
            <w:tcW w:type="dxa" w:w="840"/>
          </w:tcPr>
          <w:p>
            <w:r>
              <w:rPr>
                <w:rFonts w:ascii="Times New Roman" w:hAnsi="Times New Roman"/>
                <w:b/>
                <w:sz w:val="14"/>
              </w:rPr>
              <w:t>GN ($)</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0,5</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Undersampling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1</w:t>
            </w:r>
          </w:p>
        </w:tc>
        <w:tc>
          <w:tcPr>
            <w:tcW w:type="dxa" w:w="840"/>
          </w:tcPr>
          <w:p>
            <w:r>
              <w:rPr>
                <w:rFonts w:ascii="Times New Roman" w:hAnsi="Times New Roman"/>
                <w:sz w:val="14"/>
              </w:rPr>
              <w:t>3</w:t>
            </w:r>
          </w:p>
        </w:tc>
        <w:tc>
          <w:tcPr>
            <w:tcW w:type="dxa" w:w="840"/>
          </w:tcPr>
          <w:p>
            <w:r>
              <w:rPr>
                <w:rFonts w:ascii="Times New Roman" w:hAnsi="Times New Roman"/>
                <w:sz w:val="14"/>
              </w:rPr>
              <w:t>98.356</w:t>
            </w:r>
          </w:p>
        </w:tc>
        <w:tc>
          <w:tcPr>
            <w:tcW w:type="dxa" w:w="840"/>
          </w:tcPr>
          <w:p>
            <w:r>
              <w:rPr>
                <w:rFonts w:ascii="Times New Roman" w:hAnsi="Times New Roman"/>
                <w:sz w:val="14"/>
              </w:rPr>
              <w:t>0,9994</w:t>
            </w:r>
          </w:p>
        </w:tc>
        <w:tc>
          <w:tcPr>
            <w:tcW w:type="dxa" w:w="840"/>
          </w:tcPr>
          <w:p>
            <w:r>
              <w:rPr>
                <w:rFonts w:ascii="Times New Roman" w:hAnsi="Times New Roman"/>
                <w:sz w:val="14"/>
              </w:rPr>
              <w:t>0,9982</w:t>
            </w:r>
          </w:p>
        </w:tc>
        <w:tc>
          <w:tcPr>
            <w:tcW w:type="dxa" w:w="840"/>
          </w:tcPr>
          <w:p>
            <w:r>
              <w:rPr>
                <w:rFonts w:ascii="Times New Roman" w:hAnsi="Times New Roman"/>
                <w:sz w:val="14"/>
              </w:rPr>
              <w:t>0,9988</w:t>
            </w:r>
          </w:p>
        </w:tc>
        <w:tc>
          <w:tcPr>
            <w:tcW w:type="dxa" w:w="840"/>
          </w:tcPr>
          <w:p>
            <w:r>
              <w:rPr>
                <w:rFonts w:ascii="Times New Roman" w:hAnsi="Times New Roman"/>
                <w:sz w:val="14"/>
              </w:rPr>
              <w:t>1,0000</w:t>
            </w:r>
          </w:p>
        </w:tc>
        <w:tc>
          <w:tcPr>
            <w:tcW w:type="dxa" w:w="840"/>
          </w:tcPr>
          <w:p>
            <w:r>
              <w:rPr>
                <w:rFonts w:ascii="Times New Roman" w:hAnsi="Times New Roman"/>
                <w:sz w:val="14"/>
              </w:rPr>
              <w:t>$163.967</w:t>
            </w:r>
          </w:p>
        </w:tc>
      </w:tr>
    </w:tbl>
    <w:p>
      <w:pPr>
        <w:jc w:val="center"/>
      </w:pPr>
      <w:r>
        <w:rPr>
          <w:rFonts w:ascii="Times New Roman" w:hAnsi="Times New Roman"/>
          <w:i/>
          <w:sz w:val="16"/>
        </w:rPr>
        <w:t>Tabla 2. Métricas del modelo ganador y configuraciones equivalentes. RF(100) + Oversampling + t=0,5: GN=$164.000, Precision=1,0000, Recall=0,9982, F1=0,9991, AUC=0,9994.</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Euromonitor International — Passport. (2024). Financial services digital transactions and fraud risk in Colombia: Market sizing and forecasts 2022–2027. Passport Database.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