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Grupo 1 — Pontificia Universidad Javeriana</w:t>
        <w:br/>
        <w:t>Especialización en Inteligencia Artificial | Módulo 4</w:t>
        <w:br/>
        <w:t>Bogotá, Colombia — Abril 2026</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Undersampling + threshold=0,78 (GN ≈ $12.900, AUC-ROC &gt; 0,99, F1 &gt; 0,86).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Calidad</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31797"/>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31797"/>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79412"/>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79412"/>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Para cada dataset balanceado se realizó el análisis descriptivo completo requerido por el taller: estadística con IQR, boxplots comparativos, histogramas y correlaciones con isFraud. La Figura 6 muestra las distribuciones de amount_log por técnica. SMOTE introduce leve ruido sintético en la zona de solapamiento (amount_log entre 10 y 13), mientras Undersampling preserva la distribución original con mayor varianza por el tamaño reducido del conjunto (Chawla et al., 2002; He &amp; Garcia, 2009).</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amount_log y correlaciones con isFraud por técnica de balanceo.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15734"/>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15734"/>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Undersampling + threshold=0,78 → GN ≈ $12.900</w:t>
      </w:r>
    </w:p>
    <w:p>
      <w:pPr>
        <w:spacing w:before="60" w:after="60"/>
        <w:jc w:val="both"/>
      </w:pPr>
      <w:r>
        <w:rPr>
          <w:rFonts w:ascii="Times New Roman" w:hAnsi="Times New Roman"/>
          <w:b w:val="0"/>
          <w:i w:val="0"/>
          <w:sz w:val="20"/>
        </w:rPr>
        <w:t>Este resultado se explica por la interacción de tres factores: (i) Undersampling preserva los patrones genuinos de fraude sin introducir artefactos sintéticos (He &amp; Garcia, 2009); (ii) n=100 árboles es suficiente para la convergencia del ensamble (Oshiro et al., 2012); (iii) threshold=0,78 optimiza la ratio TP/FP de la función de costo, reduciendo FP ($33 c/u) más rápido que TP, maximizando la GN (Elkan, 2001). Desde la perspectiva legal, threshold=0,78 minimiza los bloqueos indebidos que activarían el Art. 15 CN y la Sentencia T-255/22 (Corte Constitucional, 2022).</w:t>
      </w:r>
    </w:p>
    <w:p>
      <w:pPr>
        <w:jc w:val="center"/>
      </w:pPr>
      <w:r>
        <w:drawing>
          <wp:inline xmlns:a="http://schemas.openxmlformats.org/drawingml/2006/main" xmlns:pic="http://schemas.openxmlformats.org/drawingml/2006/picture">
            <wp:extent cx="2700000" cy="1006660"/>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006660"/>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RF(n=100) + Undersampling + t=0,78 (GN ≈ $12.900).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revela implicaciones legales directas: threshold=0,2 maximiza Recall (detecta más fraudes) pero genera FP que vulneran el Art. 15 CN (Sentencia T-255/22 — Corte Constitucional, 2022); threshold=0,78 equilibra la GN con el cumplimiento legal; threshold=0,5 es el compromiso teórico pero subóptimo bajo la función de costo $I/$C = 3,03 (Elkan, 2001). La Circular SFC 029/2014 exige un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Undersampling + threshold=0,78 es la configuración óptima (GN ≈ $12.900, AUC &gt; 0,99, F1 &gt; 0,86). Undersampling preserva patrones genuinos sin artefactos sintéticos (He &amp; Garcia, 2009); n=100 árboles es suficiente para convergencia (Oshiro et al., 2012); threshold=0,78 equilibra la función de costo $I/$C = 3,03 (Elkan, 2001) con el marco legal colombiano (Sentencia T-255/22).</w:t>
        <w:br/>
        <w:br/>
        <w:t>3. La Regresión Logística tiene GN &lt; 0 por sus límites de decisión lineales (Bahnsen et al., 2016), pero es insustituible como modelo interpretable para reportes regulatorios ante la SFC (FAccT — ACM, 2020).</w:t>
        <w:br/>
        <w:br/>
        <w:t>4. El umbral de decisión es el parámetro más crítico del sistema desde la perspectiva legal: threshold=0,78 cumple el Art. 15 CN y la Sentencia T-255/22, mientras threshold=0,2 generaría una cascada de FP con consecuencias jurídicas graves.</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