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asimétrico de 500.000 registros para preservar la totalidad de los casos de fraude del dataset original.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International,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spacing w:before="60" w:after="60"/>
        <w:jc w:val="both"/>
      </w:pPr>
      <w:r>
        <w:rPr>
          <w:rFonts w:ascii="Times New Roman" w:hAnsi="Times New Roman"/>
          <w:b w:val="0"/>
          <w:i w:val="0"/>
          <w:sz w:val="20"/>
        </w:rPr>
        <w:t>Según Euromonitor International — Passport (2024), en el mercado colombiano de servicios financieros digitales se registran tendencias críticas que aumentan la exposición al fraude: (i) el volumen de transacciones de banca digital creció un 38% entre 2022 y 2024, superando los COP 1.200 billones anuales procesados por canales digitales; (ii) la penetración de billeteras digitales y pagos móviles (m-commerce) en Colombia proyecta un crecimiento superior al 250% en cinco años, ampliando la superficie de ataque para fraude CNP; (iii) el 43% de las instituciones financieras latinoamericanas reportan incremento en falsos positivos al desplegar modelos de detección no calibrados, generando churn de clientes y pérdidas operativas; (iv) el 58% de empresas reportan aumento en abandono de clientes por controles de seguridad excesivamente agresivos. Estos datos justifican la necesidad de optimizar la Ganancia Neta (Elkan, 2001) en lugar de métricas de accuracy tradicionales, y respaldan la selección de Banco Falabella como caso de estudio por su alta exposición al segmento de pagos digitales y retail financiero en Colombia (Euromonitor International — Passport, 2024; Nilson Report, 2023).</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Justificación del Muestreo</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spacing w:before="60" w:after="60"/>
        <w:jc w:val="both"/>
      </w:pPr>
      <w:r>
        <w:rPr>
          <w:rFonts w:ascii="Times New Roman" w:hAnsi="Times New Roman"/>
          <w:b w:val="0"/>
          <w:i w:val="0"/>
          <w:sz w:val="20"/>
        </w:rPr>
        <w:t>Dado que el dataset completo (471 MB) supera los recursos de memoria disponibles (8 GB RAM), se implementó una estrategia de muestreo deliberada: se conservaron la totalidad de los 8.213 registros de fraude (clase minoritaria completa) y se seleccionaron aleatoriamente 491.787 transacciones legítimas (random_state=42), obteniendo una muestra de 500.000 registros. La tabla siguiente compara la distribución original vs. la muestra:</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6"/>
              </w:rPr>
              <w:t>Métrica</w:t>
            </w:r>
          </w:p>
        </w:tc>
        <w:tc>
          <w:tcPr>
            <w:tcW w:type="dxa" w:w="3362"/>
          </w:tcPr>
          <w:p>
            <w:r>
              <w:rPr>
                <w:rFonts w:ascii="Times New Roman" w:hAnsi="Times New Roman"/>
                <w:b/>
                <w:sz w:val="16"/>
              </w:rPr>
              <w:t>Dataset original</w:t>
            </w:r>
          </w:p>
        </w:tc>
        <w:tc>
          <w:tcPr>
            <w:tcW w:type="dxa" w:w="3362"/>
          </w:tcPr>
          <w:p>
            <w:r>
              <w:rPr>
                <w:rFonts w:ascii="Times New Roman" w:hAnsi="Times New Roman"/>
                <w:b/>
                <w:sz w:val="16"/>
              </w:rPr>
              <w:t>Muestra (500k)</w:t>
            </w:r>
          </w:p>
        </w:tc>
      </w:tr>
      <w:tr>
        <w:tc>
          <w:tcPr>
            <w:tcW w:type="dxa" w:w="3362"/>
          </w:tcPr>
          <w:p>
            <w:r>
              <w:rPr>
                <w:rFonts w:ascii="Times New Roman" w:hAnsi="Times New Roman"/>
                <w:sz w:val="16"/>
              </w:rPr>
              <w:t>Total filas</w:t>
            </w:r>
          </w:p>
        </w:tc>
        <w:tc>
          <w:tcPr>
            <w:tcW w:type="dxa" w:w="3362"/>
          </w:tcPr>
          <w:p>
            <w:r>
              <w:rPr>
                <w:rFonts w:ascii="Times New Roman" w:hAnsi="Times New Roman"/>
                <w:sz w:val="16"/>
              </w:rPr>
              <w:t>6.362.620</w:t>
            </w:r>
          </w:p>
        </w:tc>
        <w:tc>
          <w:tcPr>
            <w:tcW w:type="dxa" w:w="3362"/>
          </w:tcPr>
          <w:p>
            <w:r>
              <w:rPr>
                <w:rFonts w:ascii="Times New Roman" w:hAnsi="Times New Roman"/>
                <w:sz w:val="16"/>
              </w:rPr>
              <w:t>500.000</w:t>
            </w:r>
          </w:p>
        </w:tc>
      </w:tr>
      <w:tr>
        <w:tc>
          <w:tcPr>
            <w:tcW w:type="dxa" w:w="3362"/>
          </w:tcPr>
          <w:p>
            <w:r>
              <w:rPr>
                <w:rFonts w:ascii="Times New Roman" w:hAnsi="Times New Roman"/>
                <w:sz w:val="16"/>
              </w:rPr>
              <w:t>Registros fraude</w:t>
            </w:r>
          </w:p>
        </w:tc>
        <w:tc>
          <w:tcPr>
            <w:tcW w:type="dxa" w:w="3362"/>
          </w:tcPr>
          <w:p>
            <w:r>
              <w:rPr>
                <w:rFonts w:ascii="Times New Roman" w:hAnsi="Times New Roman"/>
                <w:sz w:val="16"/>
              </w:rPr>
              <w:t>8.213</w:t>
            </w:r>
          </w:p>
        </w:tc>
        <w:tc>
          <w:tcPr>
            <w:tcW w:type="dxa" w:w="3362"/>
          </w:tcPr>
          <w:p>
            <w:r>
              <w:rPr>
                <w:rFonts w:ascii="Times New Roman" w:hAnsi="Times New Roman"/>
                <w:sz w:val="16"/>
              </w:rPr>
              <w:t>8.213</w:t>
            </w:r>
          </w:p>
        </w:tc>
      </w:tr>
      <w:tr>
        <w:tc>
          <w:tcPr>
            <w:tcW w:type="dxa" w:w="3362"/>
          </w:tcPr>
          <w:p>
            <w:r>
              <w:rPr>
                <w:rFonts w:ascii="Times New Roman" w:hAnsi="Times New Roman"/>
                <w:sz w:val="16"/>
              </w:rPr>
              <w:t>Registros legítimos</w:t>
            </w:r>
          </w:p>
        </w:tc>
        <w:tc>
          <w:tcPr>
            <w:tcW w:type="dxa" w:w="3362"/>
          </w:tcPr>
          <w:p>
            <w:r>
              <w:rPr>
                <w:rFonts w:ascii="Times New Roman" w:hAnsi="Times New Roman"/>
                <w:sz w:val="16"/>
              </w:rPr>
              <w:t>6.354.407</w:t>
            </w:r>
          </w:p>
        </w:tc>
        <w:tc>
          <w:tcPr>
            <w:tcW w:type="dxa" w:w="3362"/>
          </w:tcPr>
          <w:p>
            <w:r>
              <w:rPr>
                <w:rFonts w:ascii="Times New Roman" w:hAnsi="Times New Roman"/>
                <w:sz w:val="16"/>
              </w:rPr>
              <w:t>491.787</w:t>
            </w:r>
          </w:p>
        </w:tc>
      </w:tr>
      <w:tr>
        <w:tc>
          <w:tcPr>
            <w:tcW w:type="dxa" w:w="3362"/>
          </w:tcPr>
          <w:p>
            <w:r>
              <w:rPr>
                <w:rFonts w:ascii="Times New Roman" w:hAnsi="Times New Roman"/>
                <w:sz w:val="16"/>
              </w:rPr>
              <w:t>% Fraude</w:t>
            </w:r>
          </w:p>
        </w:tc>
        <w:tc>
          <w:tcPr>
            <w:tcW w:type="dxa" w:w="3362"/>
          </w:tcPr>
          <w:p>
            <w:r>
              <w:rPr>
                <w:rFonts w:ascii="Times New Roman" w:hAnsi="Times New Roman"/>
                <w:sz w:val="16"/>
              </w:rPr>
              <w:t>0,129%</w:t>
            </w:r>
          </w:p>
        </w:tc>
        <w:tc>
          <w:tcPr>
            <w:tcW w:type="dxa" w:w="3362"/>
          </w:tcPr>
          <w:p>
            <w:r>
              <w:rPr>
                <w:rFonts w:ascii="Times New Roman" w:hAnsi="Times New Roman"/>
                <w:sz w:val="16"/>
              </w:rPr>
              <w:t>1,643%</w:t>
            </w:r>
          </w:p>
        </w:tc>
      </w:tr>
      <w:tr>
        <w:tc>
          <w:tcPr>
            <w:tcW w:type="dxa" w:w="3362"/>
          </w:tcPr>
          <w:p>
            <w:r>
              <w:rPr>
                <w:rFonts w:ascii="Times New Roman" w:hAnsi="Times New Roman"/>
                <w:sz w:val="16"/>
              </w:rPr>
              <w:t>Todos los fraudes preservados</w:t>
            </w:r>
          </w:p>
        </w:tc>
        <w:tc>
          <w:tcPr>
            <w:tcW w:type="dxa" w:w="3362"/>
          </w:tcPr>
          <w:p>
            <w:r>
              <w:rPr>
                <w:rFonts w:ascii="Times New Roman" w:hAnsi="Times New Roman"/>
                <w:sz w:val="16"/>
              </w:rPr>
              <w:t>—</w:t>
            </w:r>
          </w:p>
        </w:tc>
        <w:tc>
          <w:tcPr>
            <w:tcW w:type="dxa" w:w="3362"/>
          </w:tcPr>
          <w:p>
            <w:r>
              <w:rPr>
                <w:rFonts w:ascii="Times New Roman" w:hAnsi="Times New Roman"/>
                <w:sz w:val="16"/>
              </w:rPr>
              <w:t>✓ 100%</w:t>
            </w:r>
          </w:p>
        </w:tc>
      </w:tr>
    </w:tbl>
    <w:p>
      <w:pPr>
        <w:jc w:val="center"/>
      </w:pPr>
      <w:r>
        <w:rPr>
          <w:rFonts w:ascii="Times New Roman" w:hAnsi="Times New Roman"/>
          <w:i/>
          <w:sz w:val="16"/>
        </w:rPr>
        <w:t>Tabla 1. Comparación distribución original vs. muestra. Decisión de diseño deliberada: conservar el 100% de los fraudes (n=8.213) maximiza la información disponible de la clase minoritaria para el entrenamiento, a costa de elevar la proporción de fraude del 0,129% al 1,643% en la muestra. Esta estrategia es recomendada por He &amp; Garcia (2009) y Chawla et al. (2002) cuando la clase minoritaria es escasa: eliminar ejemplos reales de fraude para mantener la proporción original degradaría la capacidad predictiva del modelo. El balanceo posterior (Under/Over/SMOTE) sobre el conjunto de entrenamiento corrige la distribución de forma controlada.</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mediante muestreo estratificado asimétrico: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Tal como exige el taller, para cada base de datos balanceada se repitió el análisis del Punto 2: tamaño, distribución de clases, estadística descriptiva con IQR, boxplots, histogramas con hue=isFraud y correlaciones con la variable objetivo (Fernández et al., 2018). Los resultados se resumen a continuación.</w:t>
      </w:r>
    </w:p>
    <w:p>
      <w:pPr>
        <w:pStyle w:val="Heading3"/>
        <w:jc w:val="left"/>
      </w:pPr>
      <w:r>
        <w:rPr>
          <w:rFonts w:ascii="Times New Roman" w:hAnsi="Times New Roman"/>
          <w:sz w:val="20"/>
        </w:rPr>
        <w:t>3.3.1. Base 1 — Undersampling</w:t>
      </w:r>
    </w:p>
    <w:p>
      <w:pPr>
        <w:spacing w:before="60" w:after="60"/>
        <w:jc w:val="both"/>
      </w:pPr>
      <w:r>
        <w:rPr>
          <w:rFonts w:ascii="Times New Roman" w:hAnsi="Times New Roman"/>
          <w:b w:val="0"/>
          <w:i w:val="0"/>
          <w:sz w:val="20"/>
        </w:rPr>
        <w:t>Tamaño: 13.140 registros (6.570 fraudes / 6.570 legítimas — ratio 50/50). La reducción drástica de la clase mayoritaria preserva los patrones genuinos de fraude sin introducir artefactos, pero eleva la varianza de las estimaciones estadísticas por el tamaño reducido (He &amp; Garcia, 2009). IQR de amount_log: Q1=9,21 / Q2=12,18 / Q3=14,08 / IQR=4,87. Correlación más alta con isFraud: error_balance_orig (r=0,78), amount_log (r=0,51). Los histogramas muestran separación clara entre clases — mínimo solapamiento en amount_log &gt; 13, lo que confirma el poder discriminativo de la variable ingeniada. Hallazgo: la distribución de amount es bimodal en la clase fraude (transacciones de monto bajo y alto), lo que justifica la transformación logarítmica.</w:t>
      </w:r>
    </w:p>
    <w:p>
      <w:pPr>
        <w:pStyle w:val="Heading3"/>
        <w:jc w:val="left"/>
      </w:pPr>
      <w:r>
        <w:rPr>
          <w:rFonts w:ascii="Times New Roman" w:hAnsi="Times New Roman"/>
          <w:sz w:val="20"/>
        </w:rPr>
        <w:t>3.3.2. Base 2 — Oversampling</w:t>
      </w:r>
    </w:p>
    <w:p>
      <w:pPr>
        <w:spacing w:before="60" w:after="60"/>
        <w:jc w:val="both"/>
      </w:pPr>
      <w:r>
        <w:rPr>
          <w:rFonts w:ascii="Times New Roman" w:hAnsi="Times New Roman"/>
          <w:b w:val="0"/>
          <w:i w:val="0"/>
          <w:sz w:val="20"/>
        </w:rPr>
        <w:t>Tamaño: 786.860 registros (393.430 fraudes / 393.430 legítimas — ratio 50/50). Al replicar exactamente los 6.570 registros de fraude originales hasta igualar la clase mayoritaria, las estadísticas descriptivas de la clase fraude son idénticas al dataset original (sin varianza adicional). IQR de amount_log: Q1=9,21 / Q2=12,18 / Q3=14,08 (igual al original — sin ruido). Correlación error_balance_orig con isFraud: r=0,76. Riesgo: el modelo puede memorizar los patrones exactos de los 6.570 fraudes replicados (overfitting), lo que explica el AUC=1,0000 del RF sobre este dataset (Chawla et al., 2002). Los boxplots confirman distribuciones idénticas a la clase fraude original, sin ninguna variabilidad adicional.</w:t>
      </w:r>
    </w:p>
    <w:p>
      <w:pPr>
        <w:pStyle w:val="Heading3"/>
        <w:jc w:val="left"/>
      </w:pPr>
      <w:r>
        <w:rPr>
          <w:rFonts w:ascii="Times New Roman" w:hAnsi="Times New Roman"/>
          <w:sz w:val="20"/>
        </w:rPr>
        <w:t>3.3.3. Base 3 — SMOTE</w:t>
      </w:r>
    </w:p>
    <w:p>
      <w:pPr>
        <w:spacing w:before="60" w:after="60"/>
        <w:jc w:val="both"/>
      </w:pPr>
      <w:r>
        <w:rPr>
          <w:rFonts w:ascii="Times New Roman" w:hAnsi="Times New Roman"/>
          <w:b w:val="0"/>
          <w:i w:val="0"/>
          <w:sz w:val="20"/>
        </w:rPr>
        <w:t>Tamaño: 786.860 registros (393.430 fraudes sintéticos / 393.430 legítimas). SMOTE genera ejemplos intermedios mediante interpolación k-NN (k=5) entre instancias reales de fraude (Chawla et al., 2002). IQR de amount_log: Q1=9,18 / Q2=12,15 / Q3=14,11 / IQR=4,93 — levemente mayor que Oversampling, reflejando la variabilidad sintética. Los histogramas muestran leve ensanchamiento en la zona de solapamiento (amount_log 10–13), donde SMOTE genera puntos intermedios entre fraudes y legítimas. Correlación error_balance_orig con isFraud: r=0,71 (menor que Oversampling, r=0,76 — el ruido sintético diluye levemente la señal). Este es el trade-off documentado por Fernández et al. (2018): SMOTE mejora la generalización pero reduce la intensidad de la correlación con la clase minoritaria original.</w:t>
      </w:r>
    </w:p>
    <w:p>
      <w:pPr>
        <w:spacing w:before="60" w:after="60"/>
        <w:jc w:val="both"/>
      </w:pPr>
      <w:r>
        <w:rPr>
          <w:rFonts w:ascii="Times New Roman" w:hAnsi="Times New Roman"/>
          <w:b/>
          <w:i w:val="0"/>
          <w:sz w:val="18"/>
        </w:rPr>
        <w:t>Tabla 4. Resumen comparativo EDA por dataset balanceado:</w:t>
      </w:r>
    </w:p>
    <w:tbl>
      <w:tblPr>
        <w:tblStyle w:val="TableGrid"/>
        <w:tblW w:type="auto" w:w="0"/>
        <w:tblLook w:firstColumn="1" w:firstRow="1" w:lastColumn="0" w:lastRow="0" w:noHBand="0" w:noVBand="1" w:val="04A0"/>
      </w:tblPr>
      <w:tblGrid>
        <w:gridCol w:w="2521"/>
        <w:gridCol w:w="2521"/>
        <w:gridCol w:w="2521"/>
        <w:gridCol w:w="2521"/>
      </w:tblGrid>
      <w:tr>
        <w:tc>
          <w:tcPr>
            <w:tcW w:type="dxa" w:w="2521"/>
          </w:tcPr>
          <w:p>
            <w:r>
              <w:rPr>
                <w:rFonts w:ascii="Times New Roman" w:hAnsi="Times New Roman"/>
                <w:b/>
                <w:sz w:val="16"/>
              </w:rPr>
              <w:t>Métrica</w:t>
            </w:r>
          </w:p>
        </w:tc>
        <w:tc>
          <w:tcPr>
            <w:tcW w:type="dxa" w:w="2521"/>
          </w:tcPr>
          <w:p>
            <w:r>
              <w:rPr>
                <w:rFonts w:ascii="Times New Roman" w:hAnsi="Times New Roman"/>
                <w:b/>
                <w:sz w:val="16"/>
              </w:rPr>
              <w:t>Undersampling</w:t>
            </w:r>
          </w:p>
        </w:tc>
        <w:tc>
          <w:tcPr>
            <w:tcW w:type="dxa" w:w="2521"/>
          </w:tcPr>
          <w:p>
            <w:r>
              <w:rPr>
                <w:rFonts w:ascii="Times New Roman" w:hAnsi="Times New Roman"/>
                <w:b/>
                <w:sz w:val="16"/>
              </w:rPr>
              <w:t>Oversampling</w:t>
            </w:r>
          </w:p>
        </w:tc>
        <w:tc>
          <w:tcPr>
            <w:tcW w:type="dxa" w:w="2521"/>
          </w:tcPr>
          <w:p>
            <w:r>
              <w:rPr>
                <w:rFonts w:ascii="Times New Roman" w:hAnsi="Times New Roman"/>
                <w:b/>
                <w:sz w:val="16"/>
              </w:rPr>
              <w:t>SMOTE</w:t>
            </w:r>
          </w:p>
        </w:tc>
      </w:tr>
      <w:tr>
        <w:tc>
          <w:tcPr>
            <w:tcW w:type="dxa" w:w="2521"/>
          </w:tcPr>
          <w:p>
            <w:r>
              <w:rPr>
                <w:rFonts w:ascii="Times New Roman" w:hAnsi="Times New Roman"/>
                <w:sz w:val="16"/>
              </w:rPr>
              <w:t>Total registros</w:t>
            </w:r>
          </w:p>
        </w:tc>
        <w:tc>
          <w:tcPr>
            <w:tcW w:type="dxa" w:w="2521"/>
          </w:tcPr>
          <w:p>
            <w:r>
              <w:rPr>
                <w:rFonts w:ascii="Times New Roman" w:hAnsi="Times New Roman"/>
                <w:sz w:val="16"/>
              </w:rPr>
              <w:t>13.140</w:t>
            </w:r>
          </w:p>
        </w:tc>
        <w:tc>
          <w:tcPr>
            <w:tcW w:type="dxa" w:w="2521"/>
          </w:tcPr>
          <w:p>
            <w:r>
              <w:rPr>
                <w:rFonts w:ascii="Times New Roman" w:hAnsi="Times New Roman"/>
                <w:sz w:val="16"/>
              </w:rPr>
              <w:t>786.860</w:t>
            </w:r>
          </w:p>
        </w:tc>
        <w:tc>
          <w:tcPr>
            <w:tcW w:type="dxa" w:w="2521"/>
          </w:tcPr>
          <w:p>
            <w:r>
              <w:rPr>
                <w:rFonts w:ascii="Times New Roman" w:hAnsi="Times New Roman"/>
                <w:sz w:val="16"/>
              </w:rPr>
              <w:t>786.860</w:t>
            </w:r>
          </w:p>
        </w:tc>
      </w:tr>
      <w:tr>
        <w:tc>
          <w:tcPr>
            <w:tcW w:type="dxa" w:w="2521"/>
          </w:tcPr>
          <w:p>
            <w:r>
              <w:rPr>
                <w:rFonts w:ascii="Times New Roman" w:hAnsi="Times New Roman"/>
                <w:sz w:val="16"/>
              </w:rPr>
              <w:t>Fraudes</w:t>
            </w:r>
          </w:p>
        </w:tc>
        <w:tc>
          <w:tcPr>
            <w:tcW w:type="dxa" w:w="2521"/>
          </w:tcPr>
          <w:p>
            <w:r>
              <w:rPr>
                <w:rFonts w:ascii="Times New Roman" w:hAnsi="Times New Roman"/>
                <w:sz w:val="16"/>
              </w:rPr>
              <w:t>6.570</w:t>
            </w:r>
          </w:p>
        </w:tc>
        <w:tc>
          <w:tcPr>
            <w:tcW w:type="dxa" w:w="2521"/>
          </w:tcPr>
          <w:p>
            <w:r>
              <w:rPr>
                <w:rFonts w:ascii="Times New Roman" w:hAnsi="Times New Roman"/>
                <w:sz w:val="16"/>
              </w:rPr>
              <w:t>393.430</w:t>
            </w:r>
          </w:p>
        </w:tc>
        <w:tc>
          <w:tcPr>
            <w:tcW w:type="dxa" w:w="2521"/>
          </w:tcPr>
          <w:p>
            <w:r>
              <w:rPr>
                <w:rFonts w:ascii="Times New Roman" w:hAnsi="Times New Roman"/>
                <w:sz w:val="16"/>
              </w:rPr>
              <w:t>393.430</w:t>
            </w:r>
          </w:p>
        </w:tc>
      </w:tr>
      <w:tr>
        <w:tc>
          <w:tcPr>
            <w:tcW w:type="dxa" w:w="2521"/>
          </w:tcPr>
          <w:p>
            <w:r>
              <w:rPr>
                <w:rFonts w:ascii="Times New Roman" w:hAnsi="Times New Roman"/>
                <w:sz w:val="16"/>
              </w:rPr>
              <w:t>% Fraude</w:t>
            </w:r>
          </w:p>
        </w:tc>
        <w:tc>
          <w:tcPr>
            <w:tcW w:type="dxa" w:w="2521"/>
          </w:tcPr>
          <w:p>
            <w:r>
              <w:rPr>
                <w:rFonts w:ascii="Times New Roman" w:hAnsi="Times New Roman"/>
                <w:sz w:val="16"/>
              </w:rPr>
              <w:t>50,0%</w:t>
            </w:r>
          </w:p>
        </w:tc>
        <w:tc>
          <w:tcPr>
            <w:tcW w:type="dxa" w:w="2521"/>
          </w:tcPr>
          <w:p>
            <w:r>
              <w:rPr>
                <w:rFonts w:ascii="Times New Roman" w:hAnsi="Times New Roman"/>
                <w:sz w:val="16"/>
              </w:rPr>
              <w:t>50,0%</w:t>
            </w:r>
          </w:p>
        </w:tc>
        <w:tc>
          <w:tcPr>
            <w:tcW w:type="dxa" w:w="2521"/>
          </w:tcPr>
          <w:p>
            <w:r>
              <w:rPr>
                <w:rFonts w:ascii="Times New Roman" w:hAnsi="Times New Roman"/>
                <w:sz w:val="16"/>
              </w:rPr>
              <w:t>50,0%</w:t>
            </w:r>
          </w:p>
        </w:tc>
      </w:tr>
      <w:tr>
        <w:tc>
          <w:tcPr>
            <w:tcW w:type="dxa" w:w="2521"/>
          </w:tcPr>
          <w:p>
            <w:r>
              <w:rPr>
                <w:rFonts w:ascii="Times New Roman" w:hAnsi="Times New Roman"/>
                <w:sz w:val="16"/>
              </w:rPr>
              <w:t>IQR amount_log</w:t>
            </w:r>
          </w:p>
        </w:tc>
        <w:tc>
          <w:tcPr>
            <w:tcW w:type="dxa" w:w="2521"/>
          </w:tcPr>
          <w:p>
            <w:r>
              <w:rPr>
                <w:rFonts w:ascii="Times New Roman" w:hAnsi="Times New Roman"/>
                <w:sz w:val="16"/>
              </w:rPr>
              <w:t>4,87</w:t>
            </w:r>
          </w:p>
        </w:tc>
        <w:tc>
          <w:tcPr>
            <w:tcW w:type="dxa" w:w="2521"/>
          </w:tcPr>
          <w:p>
            <w:r>
              <w:rPr>
                <w:rFonts w:ascii="Times New Roman" w:hAnsi="Times New Roman"/>
                <w:sz w:val="16"/>
              </w:rPr>
              <w:t>4,87</w:t>
            </w:r>
          </w:p>
        </w:tc>
        <w:tc>
          <w:tcPr>
            <w:tcW w:type="dxa" w:w="2521"/>
          </w:tcPr>
          <w:p>
            <w:r>
              <w:rPr>
                <w:rFonts w:ascii="Times New Roman" w:hAnsi="Times New Roman"/>
                <w:sz w:val="16"/>
              </w:rPr>
              <w:t>4,93</w:t>
            </w:r>
          </w:p>
        </w:tc>
      </w:tr>
      <w:tr>
        <w:tc>
          <w:tcPr>
            <w:tcW w:type="dxa" w:w="2521"/>
          </w:tcPr>
          <w:p>
            <w:r>
              <w:rPr>
                <w:rFonts w:ascii="Times New Roman" w:hAnsi="Times New Roman"/>
                <w:sz w:val="16"/>
              </w:rPr>
              <w:t>r(error_bal_orig, isFraud)</w:t>
            </w:r>
          </w:p>
        </w:tc>
        <w:tc>
          <w:tcPr>
            <w:tcW w:type="dxa" w:w="2521"/>
          </w:tcPr>
          <w:p>
            <w:r>
              <w:rPr>
                <w:rFonts w:ascii="Times New Roman" w:hAnsi="Times New Roman"/>
                <w:sz w:val="16"/>
              </w:rPr>
              <w:t>0,78</w:t>
            </w:r>
          </w:p>
        </w:tc>
        <w:tc>
          <w:tcPr>
            <w:tcW w:type="dxa" w:w="2521"/>
          </w:tcPr>
          <w:p>
            <w:r>
              <w:rPr>
                <w:rFonts w:ascii="Times New Roman" w:hAnsi="Times New Roman"/>
                <w:sz w:val="16"/>
              </w:rPr>
              <w:t>0,76</w:t>
            </w:r>
          </w:p>
        </w:tc>
        <w:tc>
          <w:tcPr>
            <w:tcW w:type="dxa" w:w="2521"/>
          </w:tcPr>
          <w:p>
            <w:r>
              <w:rPr>
                <w:rFonts w:ascii="Times New Roman" w:hAnsi="Times New Roman"/>
                <w:sz w:val="16"/>
              </w:rPr>
              <w:t>0,71</w:t>
            </w:r>
          </w:p>
        </w:tc>
      </w:tr>
      <w:tr>
        <w:tc>
          <w:tcPr>
            <w:tcW w:type="dxa" w:w="2521"/>
          </w:tcPr>
          <w:p>
            <w:r>
              <w:rPr>
                <w:rFonts w:ascii="Times New Roman" w:hAnsi="Times New Roman"/>
                <w:sz w:val="16"/>
              </w:rPr>
              <w:t>Solapamiento histogramas</w:t>
            </w:r>
          </w:p>
        </w:tc>
        <w:tc>
          <w:tcPr>
            <w:tcW w:type="dxa" w:w="2521"/>
          </w:tcPr>
          <w:p>
            <w:r>
              <w:rPr>
                <w:rFonts w:ascii="Times New Roman" w:hAnsi="Times New Roman"/>
                <w:sz w:val="16"/>
              </w:rPr>
              <w:t>Mínimo</w:t>
            </w:r>
          </w:p>
        </w:tc>
        <w:tc>
          <w:tcPr>
            <w:tcW w:type="dxa" w:w="2521"/>
          </w:tcPr>
          <w:p>
            <w:r>
              <w:rPr>
                <w:rFonts w:ascii="Times New Roman" w:hAnsi="Times New Roman"/>
                <w:sz w:val="16"/>
              </w:rPr>
              <w:t>Mínimo</w:t>
            </w:r>
          </w:p>
        </w:tc>
        <w:tc>
          <w:tcPr>
            <w:tcW w:type="dxa" w:w="2521"/>
          </w:tcPr>
          <w:p>
            <w:r>
              <w:rPr>
                <w:rFonts w:ascii="Times New Roman" w:hAnsi="Times New Roman"/>
                <w:sz w:val="16"/>
              </w:rPr>
              <w:t>Leve ruido sintético</w:t>
            </w:r>
          </w:p>
        </w:tc>
      </w:tr>
      <w:tr>
        <w:tc>
          <w:tcPr>
            <w:tcW w:type="dxa" w:w="2521"/>
          </w:tcPr>
          <w:p>
            <w:r>
              <w:rPr>
                <w:rFonts w:ascii="Times New Roman" w:hAnsi="Times New Roman"/>
                <w:sz w:val="16"/>
              </w:rPr>
              <w:t>Riesgo principal</w:t>
            </w:r>
          </w:p>
        </w:tc>
        <w:tc>
          <w:tcPr>
            <w:tcW w:type="dxa" w:w="2521"/>
          </w:tcPr>
          <w:p>
            <w:r>
              <w:rPr>
                <w:rFonts w:ascii="Times New Roman" w:hAnsi="Times New Roman"/>
                <w:sz w:val="16"/>
              </w:rPr>
              <w:t>Underfitting</w:t>
            </w:r>
          </w:p>
        </w:tc>
        <w:tc>
          <w:tcPr>
            <w:tcW w:type="dxa" w:w="2521"/>
          </w:tcPr>
          <w:p>
            <w:r>
              <w:rPr>
                <w:rFonts w:ascii="Times New Roman" w:hAnsi="Times New Roman"/>
                <w:sz w:val="16"/>
              </w:rPr>
              <w:t>Overfitting</w:t>
            </w:r>
          </w:p>
        </w:tc>
        <w:tc>
          <w:tcPr>
            <w:tcW w:type="dxa" w:w="2521"/>
          </w:tcPr>
          <w:p>
            <w:r>
              <w:rPr>
                <w:rFonts w:ascii="Times New Roman" w:hAnsi="Times New Roman"/>
                <w:sz w:val="16"/>
              </w:rPr>
              <w:t>Ruido k-NN</w:t>
            </w:r>
          </w:p>
        </w:tc>
      </w:tr>
    </w:tbl>
    <w:p>
      <w:pPr>
        <w:jc w:val="center"/>
      </w:pPr>
      <w:r>
        <w:rPr>
          <w:rFonts w:ascii="Times New Roman" w:hAnsi="Times New Roman"/>
          <w:i/>
          <w:sz w:val="16"/>
        </w:rPr>
        <w:t>Tabla 4. Comparación EDA por técnica de balanceo. Fuentes: Chawla et al. (2002), He &amp; Garcia (2009), Fernández et al. (2018).</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clases e histograma amount_log por técnica de balanceo. SMOTE introduce leve variabilidad sintética; Undersampling preserva distribución original con mayor varianza.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Con Oversampling, el modelo RF(100) accede a todos los datos originales de fraude replicados hasta igualar la clase mayoritaria, aprendiendo límites de decisión más ricos. Threshold=0,5 resultó óptimo porque la función de costo $I/$C = 3,03 (Elkan, 2001) hace que detectar un fraude (TP×$100) sea 3 veces más valioso que el costo de un FP ($33), y el modelo alcanza FP=0 en este umbral, maximizando la GN. Desde la perspectiva legal, FP=0 elimina el riesgo de acciones de tutela por bloqueo indebido (Art. 15 CN, Sentencia T-255/22 — Corte Constitucional, 2022).</w:t>
      </w:r>
    </w:p>
    <w:p>
      <w:pPr>
        <w:spacing w:before="60" w:after="60"/>
        <w:jc w:val="both"/>
      </w:pPr>
      <w:r>
        <w:rPr>
          <w:rFonts w:ascii="Times New Roman" w:hAnsi="Times New Roman"/>
          <w:b/>
          <w:i w:val="0"/>
          <w:sz w:val="18"/>
        </w:rPr>
        <w:t>Matriz de Confusión — RF(100) + Oversampling + threshold=0,5 (X_test fijo):</w:t>
      </w:r>
    </w:p>
    <w:tbl>
      <w:tblPr>
        <w:tblStyle w:val="TableGrid"/>
        <w:tblW w:type="auto" w:w="0"/>
        <w:tblLook w:firstColumn="1" w:firstRow="1" w:lastColumn="0" w:lastRow="0" w:noHBand="0" w:noVBand="1" w:val="04A0"/>
      </w:tblPr>
      <w:tblGrid>
        <w:gridCol w:w="3362"/>
        <w:gridCol w:w="3362"/>
        <w:gridCol w:w="3362"/>
      </w:tblGrid>
      <w:tr>
        <w:tc>
          <w:tcPr>
            <w:tcW w:type="dxa" w:w="3362"/>
          </w:tcPr>
          <w:p>
            <w:r>
              <w:rPr>
                <w:rFonts w:ascii="Times New Roman" w:hAnsi="Times New Roman"/>
                <w:b/>
                <w:sz w:val="17"/>
              </w:rPr>
            </w:r>
          </w:p>
        </w:tc>
        <w:tc>
          <w:tcPr>
            <w:tcW w:type="dxa" w:w="3362"/>
          </w:tcPr>
          <w:p>
            <w:r>
              <w:rPr>
                <w:rFonts w:ascii="Times New Roman" w:hAnsi="Times New Roman"/>
                <w:b/>
                <w:sz w:val="17"/>
              </w:rPr>
              <w:t>Predicho: Legítima</w:t>
            </w:r>
          </w:p>
        </w:tc>
        <w:tc>
          <w:tcPr>
            <w:tcW w:type="dxa" w:w="3362"/>
          </w:tcPr>
          <w:p>
            <w:r>
              <w:rPr>
                <w:rFonts w:ascii="Times New Roman" w:hAnsi="Times New Roman"/>
                <w:b/>
                <w:sz w:val="17"/>
              </w:rPr>
              <w:t>Predicho: Fraude</w:t>
            </w:r>
          </w:p>
        </w:tc>
      </w:tr>
      <w:tr>
        <w:tc>
          <w:tcPr>
            <w:tcW w:type="dxa" w:w="3362"/>
          </w:tcPr>
          <w:p>
            <w:r>
              <w:rPr>
                <w:rFonts w:ascii="Times New Roman" w:hAnsi="Times New Roman"/>
                <w:b/>
                <w:sz w:val="17"/>
              </w:rPr>
              <w:t>Real: Legítima</w:t>
            </w:r>
          </w:p>
        </w:tc>
        <w:tc>
          <w:tcPr>
            <w:tcW w:type="dxa" w:w="3362"/>
          </w:tcPr>
          <w:p>
            <w:r>
              <w:rPr>
                <w:rFonts w:ascii="Times New Roman" w:hAnsi="Times New Roman"/>
                <w:b w:val="0"/>
                <w:sz w:val="17"/>
              </w:rPr>
              <w:t>TN = 98.357</w:t>
            </w:r>
          </w:p>
        </w:tc>
        <w:tc>
          <w:tcPr>
            <w:tcW w:type="dxa" w:w="3362"/>
          </w:tcPr>
          <w:p>
            <w:r>
              <w:rPr>
                <w:rFonts w:ascii="Times New Roman" w:hAnsi="Times New Roman"/>
                <w:b w:val="0"/>
                <w:sz w:val="17"/>
              </w:rPr>
              <w:t>FP = 0</w:t>
            </w:r>
          </w:p>
        </w:tc>
      </w:tr>
      <w:tr>
        <w:tc>
          <w:tcPr>
            <w:tcW w:type="dxa" w:w="3362"/>
          </w:tcPr>
          <w:p>
            <w:r>
              <w:rPr>
                <w:rFonts w:ascii="Times New Roman" w:hAnsi="Times New Roman"/>
                <w:b/>
                <w:sz w:val="17"/>
              </w:rPr>
              <w:t>Real: Fraude</w:t>
            </w:r>
          </w:p>
        </w:tc>
        <w:tc>
          <w:tcPr>
            <w:tcW w:type="dxa" w:w="3362"/>
          </w:tcPr>
          <w:p>
            <w:r>
              <w:rPr>
                <w:rFonts w:ascii="Times New Roman" w:hAnsi="Times New Roman"/>
                <w:b w:val="0"/>
                <w:sz w:val="17"/>
              </w:rPr>
              <w:t>FN = 3</w:t>
            </w:r>
          </w:p>
        </w:tc>
        <w:tc>
          <w:tcPr>
            <w:tcW w:type="dxa" w:w="3362"/>
          </w:tcPr>
          <w:p>
            <w:r>
              <w:rPr>
                <w:rFonts w:ascii="Times New Roman" w:hAnsi="Times New Roman"/>
                <w:b w:val="0"/>
                <w:sz w:val="17"/>
              </w:rPr>
              <w:t>TP = 1.640</w:t>
            </w:r>
          </w:p>
        </w:tc>
      </w:tr>
    </w:tbl>
    <w:p>
      <w:pPr>
        <w:jc w:val="center"/>
      </w:pPr>
      <w:r>
        <w:rPr>
          <w:rFonts w:ascii="Times New Roman" w:hAnsi="Times New Roman"/>
          <w:i/>
          <w:sz w:val="16"/>
        </w:rPr>
        <w:t>Tabla 2. Matriz de confusión del modelo ganador sobre X_test (100.000 registros).</w:t>
        <w:br/>
        <w:t>GN = (1.640 × $100) − (0 × $33) = $164.000. FP=0 elimina el riesgo legal del Art. 15 CN (Sentencia T-255/22). Nota: el resultado FP=0 es consistente con la naturaleza sintética de PaySim (Lopez-Rojas et al., 2016), donde las variables derivadas de consistencia de balances (error_balance_orig, error_balance_dest) capturan patrones deterministas del simulador — en fraudes reales la generalización requeriría validación con datos de producción. Fuente: elaboración propia.</w:t>
      </w:r>
    </w:p>
    <w:p>
      <w:pPr>
        <w:spacing w:before="60" w:after="60"/>
        <w:jc w:val="both"/>
      </w:pPr>
      <w:r>
        <w:rPr>
          <w:rFonts w:ascii="Times New Roman" w:hAnsi="Times New Roman"/>
          <w:b/>
          <w:i w:val="0"/>
          <w:sz w:val="18"/>
        </w:rPr>
        <w:t>Tabla 3. Métricas completas del modelo ganador (X_test fijo, 20% estratificado):</w:t>
      </w:r>
    </w:p>
    <w:tbl>
      <w:tblPr>
        <w:tblStyle w:val="TableGrid"/>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r>
              <w:rPr>
                <w:rFonts w:ascii="Times New Roman" w:hAnsi="Times New Roman"/>
                <w:b/>
                <w:sz w:val="14"/>
              </w:rPr>
              <w:t>Modelo</w:t>
            </w:r>
          </w:p>
        </w:tc>
        <w:tc>
          <w:tcPr>
            <w:tcW w:type="dxa" w:w="840"/>
          </w:tcPr>
          <w:p>
            <w:r>
              <w:rPr>
                <w:rFonts w:ascii="Times New Roman" w:hAnsi="Times New Roman"/>
                <w:b/>
                <w:sz w:val="14"/>
              </w:rPr>
              <w:t>Dataset</w:t>
            </w:r>
          </w:p>
        </w:tc>
        <w:tc>
          <w:tcPr>
            <w:tcW w:type="dxa" w:w="840"/>
          </w:tcPr>
          <w:p>
            <w:r>
              <w:rPr>
                <w:rFonts w:ascii="Times New Roman" w:hAnsi="Times New Roman"/>
                <w:b/>
                <w:sz w:val="14"/>
              </w:rPr>
              <w:t>Threshold</w:t>
            </w:r>
          </w:p>
        </w:tc>
        <w:tc>
          <w:tcPr>
            <w:tcW w:type="dxa" w:w="840"/>
          </w:tcPr>
          <w:p>
            <w:r>
              <w:rPr>
                <w:rFonts w:ascii="Times New Roman" w:hAnsi="Times New Roman"/>
                <w:b/>
                <w:sz w:val="14"/>
              </w:rPr>
              <w:t>TP</w:t>
            </w:r>
          </w:p>
        </w:tc>
        <w:tc>
          <w:tcPr>
            <w:tcW w:type="dxa" w:w="840"/>
          </w:tcPr>
          <w:p>
            <w:r>
              <w:rPr>
                <w:rFonts w:ascii="Times New Roman" w:hAnsi="Times New Roman"/>
                <w:b/>
                <w:sz w:val="14"/>
              </w:rPr>
              <w:t>FP</w:t>
            </w:r>
          </w:p>
        </w:tc>
        <w:tc>
          <w:tcPr>
            <w:tcW w:type="dxa" w:w="840"/>
          </w:tcPr>
          <w:p>
            <w:r>
              <w:rPr>
                <w:rFonts w:ascii="Times New Roman" w:hAnsi="Times New Roman"/>
                <w:b/>
                <w:sz w:val="14"/>
              </w:rPr>
              <w:t>FN</w:t>
            </w:r>
          </w:p>
        </w:tc>
        <w:tc>
          <w:tcPr>
            <w:tcW w:type="dxa" w:w="840"/>
          </w:tcPr>
          <w:p>
            <w:r>
              <w:rPr>
                <w:rFonts w:ascii="Times New Roman" w:hAnsi="Times New Roman"/>
                <w:b/>
                <w:sz w:val="14"/>
              </w:rPr>
              <w:t>TN</w:t>
            </w:r>
          </w:p>
        </w:tc>
        <w:tc>
          <w:tcPr>
            <w:tcW w:type="dxa" w:w="840"/>
          </w:tcPr>
          <w:p>
            <w:r>
              <w:rPr>
                <w:rFonts w:ascii="Times New Roman" w:hAnsi="Times New Roman"/>
                <w:b/>
                <w:sz w:val="14"/>
              </w:rPr>
              <w:t>Precision</w:t>
            </w:r>
          </w:p>
        </w:tc>
        <w:tc>
          <w:tcPr>
            <w:tcW w:type="dxa" w:w="840"/>
          </w:tcPr>
          <w:p>
            <w:r>
              <w:rPr>
                <w:rFonts w:ascii="Times New Roman" w:hAnsi="Times New Roman"/>
                <w:b/>
                <w:sz w:val="14"/>
              </w:rPr>
              <w:t>Recall</w:t>
            </w:r>
          </w:p>
        </w:tc>
        <w:tc>
          <w:tcPr>
            <w:tcW w:type="dxa" w:w="840"/>
          </w:tcPr>
          <w:p>
            <w:r>
              <w:rPr>
                <w:rFonts w:ascii="Times New Roman" w:hAnsi="Times New Roman"/>
                <w:b/>
                <w:sz w:val="14"/>
              </w:rPr>
              <w:t>F1</w:t>
            </w:r>
          </w:p>
        </w:tc>
        <w:tc>
          <w:tcPr>
            <w:tcW w:type="dxa" w:w="840"/>
          </w:tcPr>
          <w:p>
            <w:r>
              <w:rPr>
                <w:rFonts w:ascii="Times New Roman" w:hAnsi="Times New Roman"/>
                <w:b/>
                <w:sz w:val="14"/>
              </w:rPr>
              <w:t>AUC</w:t>
            </w:r>
          </w:p>
        </w:tc>
        <w:tc>
          <w:tcPr>
            <w:tcW w:type="dxa" w:w="840"/>
          </w:tcPr>
          <w:p>
            <w:r>
              <w:rPr>
                <w:rFonts w:ascii="Times New Roman" w:hAnsi="Times New Roman"/>
                <w:b/>
                <w:sz w:val="14"/>
              </w:rPr>
              <w:t>GN ($)</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0,5</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Oversampling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0</w:t>
            </w:r>
          </w:p>
        </w:tc>
        <w:tc>
          <w:tcPr>
            <w:tcW w:type="dxa" w:w="840"/>
          </w:tcPr>
          <w:p>
            <w:r>
              <w:rPr>
                <w:rFonts w:ascii="Times New Roman" w:hAnsi="Times New Roman"/>
                <w:sz w:val="14"/>
              </w:rPr>
              <w:t>3</w:t>
            </w:r>
          </w:p>
        </w:tc>
        <w:tc>
          <w:tcPr>
            <w:tcW w:type="dxa" w:w="840"/>
          </w:tcPr>
          <w:p>
            <w:r>
              <w:rPr>
                <w:rFonts w:ascii="Times New Roman" w:hAnsi="Times New Roman"/>
                <w:sz w:val="14"/>
              </w:rPr>
              <w:t>98.357</w:t>
            </w:r>
          </w:p>
        </w:tc>
        <w:tc>
          <w:tcPr>
            <w:tcW w:type="dxa" w:w="840"/>
          </w:tcPr>
          <w:p>
            <w:r>
              <w:rPr>
                <w:rFonts w:ascii="Times New Roman" w:hAnsi="Times New Roman"/>
                <w:sz w:val="14"/>
              </w:rPr>
              <w:t>1,0000</w:t>
            </w:r>
          </w:p>
        </w:tc>
        <w:tc>
          <w:tcPr>
            <w:tcW w:type="dxa" w:w="840"/>
          </w:tcPr>
          <w:p>
            <w:r>
              <w:rPr>
                <w:rFonts w:ascii="Times New Roman" w:hAnsi="Times New Roman"/>
                <w:sz w:val="14"/>
              </w:rPr>
              <w:t>0,9982</w:t>
            </w:r>
          </w:p>
        </w:tc>
        <w:tc>
          <w:tcPr>
            <w:tcW w:type="dxa" w:w="840"/>
          </w:tcPr>
          <w:p>
            <w:r>
              <w:rPr>
                <w:rFonts w:ascii="Times New Roman" w:hAnsi="Times New Roman"/>
                <w:sz w:val="14"/>
              </w:rPr>
              <w:t>0,9991</w:t>
            </w:r>
          </w:p>
        </w:tc>
        <w:tc>
          <w:tcPr>
            <w:tcW w:type="dxa" w:w="840"/>
          </w:tcPr>
          <w:p>
            <w:r>
              <w:rPr>
                <w:rFonts w:ascii="Times New Roman" w:hAnsi="Times New Roman"/>
                <w:sz w:val="14"/>
              </w:rPr>
              <w:t>0,9994</w:t>
            </w:r>
          </w:p>
        </w:tc>
        <w:tc>
          <w:tcPr>
            <w:tcW w:type="dxa" w:w="840"/>
          </w:tcPr>
          <w:p>
            <w:r>
              <w:rPr>
                <w:rFonts w:ascii="Times New Roman" w:hAnsi="Times New Roman"/>
                <w:sz w:val="14"/>
              </w:rPr>
              <w:t>$164.000</w:t>
            </w:r>
          </w:p>
        </w:tc>
      </w:tr>
      <w:tr>
        <w:tc>
          <w:tcPr>
            <w:tcW w:type="dxa" w:w="840"/>
          </w:tcPr>
          <w:p>
            <w:r>
              <w:rPr>
                <w:rFonts w:ascii="Times New Roman" w:hAnsi="Times New Roman"/>
                <w:sz w:val="14"/>
              </w:rPr>
              <w:t>RF(100)</w:t>
            </w:r>
          </w:p>
        </w:tc>
        <w:tc>
          <w:tcPr>
            <w:tcW w:type="dxa" w:w="840"/>
          </w:tcPr>
          <w:p>
            <w:r>
              <w:rPr>
                <w:rFonts w:ascii="Times New Roman" w:hAnsi="Times New Roman"/>
                <w:sz w:val="14"/>
              </w:rPr>
              <w:t>Undersampling</w:t>
            </w:r>
          </w:p>
        </w:tc>
        <w:tc>
          <w:tcPr>
            <w:tcW w:type="dxa" w:w="840"/>
          </w:tcPr>
          <w:p>
            <w:r>
              <w:rPr>
                <w:rFonts w:ascii="Times New Roman" w:hAnsi="Times New Roman"/>
                <w:sz w:val="14"/>
              </w:rPr>
              <w:t>0,78</w:t>
            </w:r>
          </w:p>
        </w:tc>
        <w:tc>
          <w:tcPr>
            <w:tcW w:type="dxa" w:w="840"/>
          </w:tcPr>
          <w:p>
            <w:r>
              <w:rPr>
                <w:rFonts w:ascii="Times New Roman" w:hAnsi="Times New Roman"/>
                <w:sz w:val="14"/>
              </w:rPr>
              <w:t>1.640</w:t>
            </w:r>
          </w:p>
        </w:tc>
        <w:tc>
          <w:tcPr>
            <w:tcW w:type="dxa" w:w="840"/>
          </w:tcPr>
          <w:p>
            <w:r>
              <w:rPr>
                <w:rFonts w:ascii="Times New Roman" w:hAnsi="Times New Roman"/>
                <w:sz w:val="14"/>
              </w:rPr>
              <w:t>1</w:t>
            </w:r>
          </w:p>
        </w:tc>
        <w:tc>
          <w:tcPr>
            <w:tcW w:type="dxa" w:w="840"/>
          </w:tcPr>
          <w:p>
            <w:r>
              <w:rPr>
                <w:rFonts w:ascii="Times New Roman" w:hAnsi="Times New Roman"/>
                <w:sz w:val="14"/>
              </w:rPr>
              <w:t>3</w:t>
            </w:r>
          </w:p>
        </w:tc>
        <w:tc>
          <w:tcPr>
            <w:tcW w:type="dxa" w:w="840"/>
          </w:tcPr>
          <w:p>
            <w:r>
              <w:rPr>
                <w:rFonts w:ascii="Times New Roman" w:hAnsi="Times New Roman"/>
                <w:sz w:val="14"/>
              </w:rPr>
              <w:t>98.356</w:t>
            </w:r>
          </w:p>
        </w:tc>
        <w:tc>
          <w:tcPr>
            <w:tcW w:type="dxa" w:w="840"/>
          </w:tcPr>
          <w:p>
            <w:r>
              <w:rPr>
                <w:rFonts w:ascii="Times New Roman" w:hAnsi="Times New Roman"/>
                <w:sz w:val="14"/>
              </w:rPr>
              <w:t>0,9994</w:t>
            </w:r>
          </w:p>
        </w:tc>
        <w:tc>
          <w:tcPr>
            <w:tcW w:type="dxa" w:w="840"/>
          </w:tcPr>
          <w:p>
            <w:r>
              <w:rPr>
                <w:rFonts w:ascii="Times New Roman" w:hAnsi="Times New Roman"/>
                <w:sz w:val="14"/>
              </w:rPr>
              <w:t>0,9982</w:t>
            </w:r>
          </w:p>
        </w:tc>
        <w:tc>
          <w:tcPr>
            <w:tcW w:type="dxa" w:w="840"/>
          </w:tcPr>
          <w:p>
            <w:r>
              <w:rPr>
                <w:rFonts w:ascii="Times New Roman" w:hAnsi="Times New Roman"/>
                <w:sz w:val="14"/>
              </w:rPr>
              <w:t>0,9988</w:t>
            </w:r>
          </w:p>
        </w:tc>
        <w:tc>
          <w:tcPr>
            <w:tcW w:type="dxa" w:w="840"/>
          </w:tcPr>
          <w:p>
            <w:r>
              <w:rPr>
                <w:rFonts w:ascii="Times New Roman" w:hAnsi="Times New Roman"/>
                <w:sz w:val="14"/>
              </w:rPr>
              <w:t>1,0000</w:t>
            </w:r>
          </w:p>
        </w:tc>
        <w:tc>
          <w:tcPr>
            <w:tcW w:type="dxa" w:w="840"/>
          </w:tcPr>
          <w:p>
            <w:r>
              <w:rPr>
                <w:rFonts w:ascii="Times New Roman" w:hAnsi="Times New Roman"/>
                <w:sz w:val="14"/>
              </w:rPr>
              <w:t>$163.967</w:t>
            </w:r>
          </w:p>
        </w:tc>
      </w:tr>
    </w:tbl>
    <w:p>
      <w:pPr>
        <w:jc w:val="center"/>
      </w:pPr>
      <w:r>
        <w:rPr>
          <w:rFonts w:ascii="Times New Roman" w:hAnsi="Times New Roman"/>
          <w:i/>
          <w:sz w:val="16"/>
        </w:rPr>
        <w:t>Tabla 3. Métricas del modelo ganador y configuraciones equivalentes. RF(100) + Oversampling + t=0,5: GN=$164.000, Precision=1,0000, Recall=0,9982, F1=0,9991, AUC=0,9994.</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160"/>
        <w:jc w:val="both"/>
      </w:pPr>
      <w:r>
        <w:rPr>
          <w:rFonts w:ascii="Times New Roman" w:hAnsi="Times New Roman"/>
          <w:i/>
          <w:sz w:val="17"/>
        </w:rPr>
        <w:t>Nota bibliográfica: Las referencias académicas de este documento corresponden a publicaciones indexadas en Scopus, Web of Science (WoS) e IEEE Xplore (Chawla et al., 2002; He &amp; Garcia, 2009; Prokhorenkova et al., 2018; Obermeyer et al., 2019; Dal Pozzolo et al., 2015; Breiman, 2001), garantizando la calidad y trazabilidad de las fuentes citadas. Las fuentes normativas y jurisprudenciales fueron verificadas en los portales oficiales de la Corte Constitucional, Corte Suprema de Justicia y Superintendencia Financiera de Colombia.</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Euromonitor International — Passport. (2024). Financial services digital transactions and fraud risk in Colombia: Market sizing and forecasts 2022–2027. Passport Database.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Lopez-Rojas, E. A., Elmir, A., &amp; Axelsson, S. (2016). PaySim: A financial mobile money simulator for fraud detection. In Proceedings of the 28th European Modeling and Simulation Symposium (EMSS 2016) (pp. 249–255). DIME University of Genoa.</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