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Detección de Fraude en Transacciones Financieras mediante</w:t>
        <w:br/>
        <w:t>Aprendizaje Automático: Un Enfoque CRISP-DM</w:t>
        <w:br/>
        <w:t>aplicado a Banco Falabella Colombia</w:t>
      </w:r>
    </w:p>
    <w:p>
      <w:pPr>
        <w:spacing w:after="200"/>
        <w:jc w:val="center"/>
      </w:pPr>
      <w:r>
        <w:rPr>
          <w:rFonts w:ascii="Times New Roman" w:hAnsi="Times New Roman"/>
          <w:i/>
          <w:sz w:val="20"/>
        </w:rPr>
        <w:t>Pontificia Universidad Javeriana — Especialización en Inteligencia Artificial | Módulo 4</w:t>
        <w:br/>
        <w:t>Bogotá, Colombia — Abril 2026</w:t>
        <w:br/>
        <w:br/>
      </w:r>
      <w:r>
        <w:rPr>
          <w:rFonts w:ascii="Times New Roman" w:hAnsi="Times New Roman"/>
          <w:b/>
          <w:sz w:val="20"/>
        </w:rPr>
        <w:t>Grupo 1 — Integrantes:</w:t>
        <w:br/>
      </w:r>
      <w:r>
        <w:rPr>
          <w:rFonts w:ascii="Times New Roman" w:hAnsi="Times New Roman"/>
          <w:sz w:val="20"/>
        </w:rPr>
        <w:t>Yulieth Carolina Pinto Pérez  •  Greyce Yeraldyn Hernández Reina</w:t>
        <w:br/>
        <w:t>Mateo Polanco Rodríguez  •  Cristian Camilo Montenegro Orjuela</w:t>
        <w:br/>
        <w:t>Sebastián Morales Quesada</w:t>
      </w:r>
    </w:p>
    <w:p>
      <w:pPr>
        <w:jc w:val="center"/>
      </w:pPr>
      <w:r>
        <w:rPr>
          <w:rFonts w:ascii="Times New Roman" w:hAnsi="Times New Roman"/>
          <w:b/>
          <w:sz w:val="22"/>
        </w:rPr>
        <w:t>RESUMEN</w:t>
      </w:r>
    </w:p>
    <w:p>
      <w:pPr>
        <w:spacing w:after="80"/>
        <w:ind w:left="680" w:right="680"/>
        <w:jc w:val="both"/>
      </w:pPr>
      <w:r>
        <w:rPr>
          <w:rFonts w:ascii="Times New Roman" w:hAnsi="Times New Roman"/>
          <w:sz w:val="19"/>
        </w:rPr>
        <w:t>El fraude en transacciones financieras genera pérdidas globales superiores a USD 33.500 millones anuales (Nilson Report, 2023). Esta amenaza es especialmente relevante para entidades como Banco Falabella Colombia, vigilada por la Superintendencia Financiera de Colombia (SFC) y sujeta al SARLAFT (Decreto 1674/2021). El presente trabajo aplica la metodología CRISP-DM (Chapman et al., 2000) al dataset sintético PaySim (6.362.620 transacciones), utilizando muestreo estratificado de 500.000 registros para preservar la distribución de fraudes (0,13%). Se evaluaron tres técnicas de balanceo de clases — Undersampling, Oversampling y SMOTE (Chawla et al., 2002) — y tres clasificadores: Regresión Logística, Random Forest (Breiman, 2001) y CatBoost (Prokhorenkova et al., 2018), con umbrales 0,2 / 0,5 / 0,78. La métrica principal fue la Ganancia Neta (GN = TP×$100 − FP×$33), basada en aprendizaje sensible al costo (Elkan, 2001). La configuración óptima fue Random Forest (n=100) + Oversampling + threshold=0,5 (GN = $164.000, AUC-ROC = 1,0000, TP=1.640, FP=0). Se discuten las implicaciones legales (Art. 246/2341, Art. 15 CN, Sentencia T-255/22) y éticas (FAccT — ACM, 2020), incluyendo la necesidad de explicabilidad algorítmica mediante SHAP (Lundberg &amp; Lee, 2017) y LIME (Ribeiro et al., 2016).</w:t>
      </w:r>
    </w:p>
    <w:p>
      <w:pPr>
        <w:spacing w:after="200"/>
        <w:ind w:left="680" w:right="680"/>
        <w:jc w:val="both"/>
      </w:pPr>
      <w:r>
        <w:rPr>
          <w:rFonts w:ascii="Times New Roman" w:hAnsi="Times New Roman"/>
          <w:b/>
          <w:sz w:val="19"/>
        </w:rPr>
        <w:t xml:space="preserve">Palabras clave: </w:t>
      </w:r>
      <w:r>
        <w:rPr>
          <w:rFonts w:ascii="Times New Roman" w:hAnsi="Times New Roman"/>
          <w:sz w:val="19"/>
        </w:rPr>
        <w:t>fraude financiero, CRISP-DM, aprendizaje sensible al costo, Random Forest, CatBoost, balanceo de clases, Ganancia Neta, PaySim, Banco Falabella, explicabilidad algorítmica.</w:t>
      </w:r>
    </w:p>
    <w:p>
      <w:pPr>
        <w:spacing w:after="120"/>
        <w:jc w:val="center"/>
      </w:pPr>
      <w:r>
        <w:rPr>
          <w:sz w:val="16"/>
        </w:rPr>
        <w:t>───────────────────────────────────────────────────────────────────────────────────────────────</w:t>
      </w:r>
    </w:p>
    <w:p>
      <w:pPr>
        <w:sectPr>
          <w:pgSz w:w="12240" w:h="15840"/>
          <w:pgMar w:top="1417" w:right="1077" w:bottom="1417" w:left="1077" w:header="720" w:footer="720" w:gutter="0"/>
          <w:docGrid w:linePitch="360"/>
          <w:cols w:num="1"/>
        </w:sectPr>
      </w:pPr>
    </w:p>
    <w:p>
      <w:pPr>
        <w:pStyle w:val="Heading1"/>
        <w:jc w:val="left"/>
      </w:pPr>
      <w:r>
        <w:rPr>
          <w:rFonts w:ascii="Times New Roman" w:hAnsi="Times New Roman"/>
          <w:sz w:val="24"/>
        </w:rPr>
        <w:t>1. ENTENDIMIENTO DEL NEGOCIO</w:t>
      </w:r>
    </w:p>
    <w:p>
      <w:pPr>
        <w:pStyle w:val="Heading2"/>
        <w:jc w:val="left"/>
      </w:pPr>
      <w:r>
        <w:rPr>
          <w:rFonts w:ascii="Times New Roman" w:hAnsi="Times New Roman"/>
          <w:sz w:val="22"/>
        </w:rPr>
        <w:t>1.1. Objetivos del Proyecto</w:t>
      </w:r>
    </w:p>
    <w:p>
      <w:pPr>
        <w:spacing w:before="60" w:after="60"/>
        <w:jc w:val="both"/>
      </w:pPr>
      <w:r>
        <w:rPr>
          <w:rFonts w:ascii="Times New Roman" w:hAnsi="Times New Roman"/>
          <w:b w:val="0"/>
          <w:i w:val="0"/>
          <w:sz w:val="20"/>
        </w:rPr>
        <w:t>El objetivo principal es desarrollar un modelo de aprendizaje automático para detectar transacciones fraudulentas en servicios financieros digitales, optimizando la Ganancia Neta como KPI de negocio bajo el marco CRISP-DM (Chapman et al., 2000). Los objetivos específicos son: (i) analizar el dataset PaySim para identificar patrones de fraude; (ii) aplicar y comparar técnicas de balanceo de clases (Chawla et al., 2002; He &amp; Garcia, 2009); (iii) entrenar y comparar Regresión Logística, Random Forest (Breiman, 2001) y CatBoost (Prokhorenkova et al., 2018) con múltiples umbrales; y (iv) integrar el análisis de costo-beneficio con el marco legal colombiano y el framework ético FAccT (ACM, 2020).</w:t>
      </w:r>
    </w:p>
    <w:p>
      <w:pPr>
        <w:pStyle w:val="Heading2"/>
        <w:jc w:val="left"/>
      </w:pPr>
      <w:r>
        <w:rPr>
          <w:rFonts w:ascii="Times New Roman" w:hAnsi="Times New Roman"/>
          <w:sz w:val="22"/>
        </w:rPr>
        <w:t>1.2. Contexto del Caso</w:t>
      </w:r>
    </w:p>
    <w:p>
      <w:pPr>
        <w:spacing w:before="60" w:after="60"/>
        <w:jc w:val="both"/>
      </w:pPr>
      <w:r>
        <w:rPr>
          <w:rFonts w:ascii="Times New Roman" w:hAnsi="Times New Roman"/>
          <w:b w:val="0"/>
          <w:i w:val="0"/>
          <w:sz w:val="20"/>
        </w:rPr>
        <w:t>El fraude en servicios financieros digitales representa pérdidas globales superiores a USD 33.500 millones anuales (Nilson Report, 2023), impulsadas por la expansión del m-commerce (crecimiento &gt;250% en 5 años en América Latina — Euromonitor, 2024) y tipologías emergentes como Account Takeover, Card-Not-Present (CNP) fraud e ingeniería social. El dataset PaySim (Kaggle, 2017) simula 30 días de transacciones de banca móvil (6.362.620 registros) con desbalance extremo: 99,87% legítimas y 0,13% fraudulentas, configurando la "Paradoja de la Precisión" (Dal Pozzolo et al., 2015) donde un clasificador trivial obtiene 99,87% de accuracy siendo completamente inútil.</w:t>
      </w:r>
    </w:p>
    <w:p>
      <w:pPr>
        <w:pStyle w:val="Heading2"/>
        <w:jc w:val="left"/>
      </w:pPr>
      <w:r>
        <w:rPr>
          <w:rFonts w:ascii="Times New Roman" w:hAnsi="Times New Roman"/>
          <w:sz w:val="22"/>
        </w:rPr>
        <w:t>1.3. Entidad Financiera: Banco Falabella</w:t>
      </w:r>
    </w:p>
    <w:p>
      <w:pPr>
        <w:spacing w:before="60" w:after="60"/>
        <w:jc w:val="both"/>
      </w:pPr>
      <w:r>
        <w:rPr>
          <w:rFonts w:ascii="Times New Roman" w:hAnsi="Times New Roman"/>
          <w:b w:val="0"/>
          <w:i w:val="0"/>
          <w:sz w:val="20"/>
        </w:rPr>
        <w:t>Banco Falabella S.A. es una entidad financiera vigilada por la SFC, subsidiaria del Grupo Falabella S.A. (Grupo Falabella, Memoria Anual 2023), con más de 1,5 millones de tarjetahabientes activos en Colombia a través de la Tarjeta CMR. Opera canales digitales (app, web) con procesamiento en tiempo real bajo redes Visa/Mastercard, generando exactamente el tipo de datos transaccionales modelados por PaySim. Su posición como banco retail-financiero implica alta exposición a fraude CNP (Nilson Report, 2023) y cobertura de segmentos sociodemográficamente diversos, lo que eleva el riesgo de sesgo algorítmico (Obermeyer et al., 2019).</w:t>
      </w:r>
    </w:p>
    <w:p>
      <w:pPr>
        <w:pStyle w:val="Heading2"/>
        <w:jc w:val="left"/>
      </w:pPr>
      <w:r>
        <w:rPr>
          <w:rFonts w:ascii="Times New Roman" w:hAnsi="Times New Roman"/>
          <w:sz w:val="22"/>
        </w:rPr>
        <w:t>1.4. Marco Legal</w:t>
      </w:r>
    </w:p>
    <w:p>
      <w:pPr>
        <w:spacing w:before="60" w:after="60"/>
        <w:jc w:val="both"/>
      </w:pPr>
      <w:r>
        <w:rPr>
          <w:rFonts w:ascii="Times New Roman" w:hAnsi="Times New Roman"/>
          <w:b w:val="0"/>
          <w:i w:val="0"/>
          <w:sz w:val="20"/>
        </w:rPr>
        <w:t>El despliegue de IA para detección de fraude en Banco Falabella opera bajo los siguientes marcos normativos colombianos (Código Penal — Ley 599/2000; Código Civil; Constitución Política de Colombia, 1991):</w:t>
      </w:r>
    </w:p>
    <w:p>
      <w:pPr>
        <w:spacing w:before="60" w:after="60"/>
        <w:jc w:val="both"/>
      </w:pPr>
      <w:r>
        <w:rPr>
          <w:rFonts w:ascii="Times New Roman" w:hAnsi="Times New Roman"/>
          <w:b w:val="0"/>
          <w:i w:val="0"/>
          <w:sz w:val="18"/>
        </w:rPr>
        <w:t>• Art. 246 C.P.: tipifica la estafa. La IA actúa como mecanismo preventivo.</w:t>
        <w:br/>
        <w:t>• Art. 323 C.P.: SARLAFT obligatorio; reporte a la UIAF ante operaciones sospechosas (Decreto 1674/2021).</w:t>
        <w:br/>
        <w:t>• Art. 2341 C.C.: falso negativo (fraude consumado) obliga al banco a restituir fondos.</w:t>
        <w:br/>
        <w:t>• Art. 15 C.N.: falso positivo (bloqueo indebido) vulnera mínimo vital y buen nombre. La Corte Constitucional lo califica como de altísima gravedad (Sentencia T-255/22).</w:t>
        <w:br/>
        <w:t>• Ley 1266/2008: prohíbe reportes negativos infundados en centrales de riesgo.</w:t>
        <w:br/>
        <w:t>• Ley 1328/2009, Art. 3: altos estándares de atención al consumidor financiero.</w:t>
        <w:br/>
        <w:t>• Circular SFC 029/2014: autoriza bloqueos preventivos con procedimiento expedito de reactivación.</w:t>
      </w:r>
    </w:p>
    <w:p>
      <w:pPr>
        <w:pStyle w:val="Heading2"/>
        <w:jc w:val="left"/>
      </w:pPr>
      <w:r>
        <w:rPr>
          <w:rFonts w:ascii="Times New Roman" w:hAnsi="Times New Roman"/>
          <w:sz w:val="22"/>
        </w:rPr>
        <w:t>1.5. Ética en la Toma de Decisiones</w:t>
      </w:r>
    </w:p>
    <w:p>
      <w:pPr>
        <w:spacing w:before="60" w:after="60"/>
        <w:jc w:val="both"/>
      </w:pPr>
      <w:r>
        <w:rPr>
          <w:rFonts w:ascii="Times New Roman" w:hAnsi="Times New Roman"/>
          <w:b w:val="0"/>
          <w:i w:val="0"/>
          <w:sz w:val="20"/>
        </w:rPr>
        <w:t>La automatización de decisiones de bloqueo implica transferencia de poder hacia algoritmos con consecuencias jurídicas concretas. El framework FAccT (ACM, 2020) estructura el análisis ético en tres pilares: (i) Fairness: los modelos heredan sesgos históricos que afectan perfiles thin-file, zonas rurales y minorías (Obermeyer et al., Science 2019; Eubanks, 2018); (ii) Accountability: responsabilidad directa por consecuencias de decisiones automatizadas (Ley 1266/2008, Art. 2341 C.C.); (iii) Transparency: RF y CatBoost son modelos opacos — la solución es XAI con SHAP (Lundberg &amp; Lee, 2017) y LIME (Ribeiro et al., 2016).</w:t>
      </w:r>
    </w:p>
    <w:p>
      <w:pPr>
        <w:pStyle w:val="Heading1"/>
        <w:jc w:val="left"/>
      </w:pPr>
      <w:r>
        <w:rPr>
          <w:rFonts w:ascii="Times New Roman" w:hAnsi="Times New Roman"/>
          <w:sz w:val="24"/>
        </w:rPr>
        <w:t>2. ENTENDIMIENTO DE LOS DATOS</w:t>
      </w:r>
    </w:p>
    <w:p>
      <w:pPr>
        <w:pStyle w:val="Heading2"/>
        <w:jc w:val="left"/>
      </w:pPr>
      <w:r>
        <w:rPr>
          <w:rFonts w:ascii="Times New Roman" w:hAnsi="Times New Roman"/>
          <w:sz w:val="22"/>
        </w:rPr>
        <w:t>2.1. Estructura y Calidad</w:t>
      </w:r>
    </w:p>
    <w:p>
      <w:pPr>
        <w:spacing w:before="60" w:after="60"/>
        <w:jc w:val="both"/>
      </w:pPr>
      <w:r>
        <w:rPr>
          <w:rFonts w:ascii="Times New Roman" w:hAnsi="Times New Roman"/>
          <w:b w:val="0"/>
          <w:i w:val="0"/>
          <w:sz w:val="20"/>
        </w:rPr>
        <w:t>El dataset PaySim (Kaggle, 2017) cuenta con 6.362.620 filas y 11 columnas. Las variables predictoras clave son: step (hora, rango 1–743), type (CASH_IN, CASH_OUT, DEBIT, PAYMENT, TRANSFER), amount, oldbalanceOrg, newbalanceOrig, oldbalanceDest y newbalanceDest. Las variables nameOrig y nameDest (identificadores únicos sin poder predictivo) e isFlaggedFraud (regla simplista — introducía data leakage) fueron eliminadas del pipeline (Kaufman et al., 2012). El análisis con ydata-profiling v4.9.0 confirmó cero valores faltantes y alta asimetría en amount (skewness &gt; 10), justificando la transformación logarítmica log1p (Han et al., 2011).</w:t>
      </w:r>
    </w:p>
    <w:p>
      <w:pPr>
        <w:pStyle w:val="Heading2"/>
        <w:jc w:val="left"/>
      </w:pPr>
      <w:r>
        <w:rPr>
          <w:rFonts w:ascii="Times New Roman" w:hAnsi="Times New Roman"/>
          <w:sz w:val="22"/>
        </w:rPr>
        <w:t>2.2. Distribución de la Variable Objetivo</w:t>
      </w:r>
    </w:p>
    <w:p>
      <w:pPr>
        <w:spacing w:before="60" w:after="60"/>
        <w:jc w:val="both"/>
      </w:pPr>
      <w:r>
        <w:rPr>
          <w:rFonts w:ascii="Times New Roman" w:hAnsi="Times New Roman"/>
          <w:b w:val="0"/>
          <w:i w:val="0"/>
          <w:sz w:val="20"/>
        </w:rPr>
        <w:t>La variable isFraud presenta desbalance extremo: 99,87% transacciones legítimas y 0,13% fraudulentas, configurando la Paradoja de la Precisión (Dal Pozzolo et al., 2015). Este desbalance hace inviable el uso de Accuracy como métrica y obliga a utilizar F1-score, ROC-AUC y métricas sensibles al costo (Branco et al., 2016).</w:t>
      </w:r>
    </w:p>
    <w:p>
      <w:pPr>
        <w:jc w:val="center"/>
      </w:pPr>
      <w:r>
        <w:drawing>
          <wp:inline xmlns:a="http://schemas.openxmlformats.org/drawingml/2006/main" xmlns:pic="http://schemas.openxmlformats.org/drawingml/2006/picture">
            <wp:extent cx="2700000" cy="1243256"/>
            <wp:docPr id="1" name="Picture 1"/>
            <wp:cNvGraphicFramePr>
              <a:graphicFrameLocks noChangeAspect="1"/>
            </wp:cNvGraphicFramePr>
            <a:graphic>
              <a:graphicData uri="http://schemas.openxmlformats.org/drawingml/2006/picture">
                <pic:pic>
                  <pic:nvPicPr>
                    <pic:cNvPr id="0" name="fig1_distribucion_isfraude.png"/>
                    <pic:cNvPicPr/>
                  </pic:nvPicPr>
                  <pic:blipFill>
                    <a:blip r:embed="rId9"/>
                    <a:stretch>
                      <a:fillRect/>
                    </a:stretch>
                  </pic:blipFill>
                  <pic:spPr>
                    <a:xfrm>
                      <a:off x="0" y="0"/>
                      <a:ext cx="2700000" cy="1243256"/>
                    </a:xfrm>
                    <a:prstGeom prst="rect"/>
                  </pic:spPr>
                </pic:pic>
              </a:graphicData>
            </a:graphic>
          </wp:inline>
        </w:drawing>
      </w:r>
    </w:p>
    <w:p>
      <w:pPr>
        <w:spacing w:after="120"/>
        <w:jc w:val="center"/>
      </w:pPr>
      <w:r>
        <w:rPr>
          <w:rFonts w:ascii="Times New Roman" w:hAnsi="Times New Roman"/>
          <w:i/>
          <w:sz w:val="17"/>
        </w:rPr>
        <w:t>Figura 1. Distribución de la variable objetivo isFraud. Elaboración propia con dataset PaySim (Kaggle, 2017).</w:t>
      </w:r>
    </w:p>
    <w:p>
      <w:pPr>
        <w:pStyle w:val="Heading2"/>
        <w:jc w:val="left"/>
      </w:pPr>
      <w:r>
        <w:rPr>
          <w:rFonts w:ascii="Times New Roman" w:hAnsi="Times New Roman"/>
          <w:sz w:val="22"/>
        </w:rPr>
        <w:t>2.3. Estadística Descriptiva e IQR</w:t>
      </w:r>
    </w:p>
    <w:p>
      <w:pPr>
        <w:spacing w:before="60" w:after="60"/>
        <w:jc w:val="both"/>
      </w:pPr>
      <w:r>
        <w:rPr>
          <w:rFonts w:ascii="Times New Roman" w:hAnsi="Times New Roman"/>
          <w:b w:val="0"/>
          <w:i w:val="0"/>
          <w:sz w:val="20"/>
        </w:rPr>
        <w:t>El análisis de rangos intercuartílicos (IQR = Q3 − Q1) revela que el monto promedio de transacciones fraudulentas (media ≈ $1.467.466) supera ampliamente el de transacciones legítimas. Más del 75% de las transacciones fraudulentas superan el umbral de Tukey (Q3 + 1,5×IQR) de las legítimas, configurando outliers estructurales — no aleatorios — que justifican la transformación logarítmica (Tukey, 1977).</w:t>
      </w:r>
    </w:p>
    <w:p>
      <w:pPr>
        <w:jc w:val="center"/>
      </w:pPr>
      <w:r>
        <w:drawing>
          <wp:inline xmlns:a="http://schemas.openxmlformats.org/drawingml/2006/main" xmlns:pic="http://schemas.openxmlformats.org/drawingml/2006/picture">
            <wp:extent cx="2700000" cy="840566"/>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2700000" cy="840566"/>
                    </a:xfrm>
                    <a:prstGeom prst="rect"/>
                  </pic:spPr>
                </pic:pic>
              </a:graphicData>
            </a:graphic>
          </wp:inline>
        </w:drawing>
      </w:r>
    </w:p>
    <w:p>
      <w:pPr>
        <w:spacing w:after="120"/>
        <w:jc w:val="center"/>
      </w:pPr>
      <w:r>
        <w:rPr>
          <w:rFonts w:ascii="Times New Roman" w:hAnsi="Times New Roman"/>
          <w:i/>
          <w:sz w:val="17"/>
        </w:rPr>
        <w:t>Figura 2. Boxplots de variables numéricas por clase (fraude vs legítima). Elaboración propia con dataset PaySim (Kaggle, 2017).</w:t>
      </w:r>
    </w:p>
    <w:p>
      <w:pPr>
        <w:pStyle w:val="Heading2"/>
        <w:jc w:val="left"/>
      </w:pPr>
      <w:r>
        <w:rPr>
          <w:rFonts w:ascii="Times New Roman" w:hAnsi="Times New Roman"/>
          <w:sz w:val="22"/>
        </w:rPr>
        <w:t>2.4. Correlaciones y Multicolinealidad</w:t>
      </w:r>
    </w:p>
    <w:p>
      <w:pPr>
        <w:spacing w:before="60" w:after="60"/>
        <w:jc w:val="both"/>
      </w:pPr>
      <w:r>
        <w:rPr>
          <w:rFonts w:ascii="Times New Roman" w:hAnsi="Times New Roman"/>
          <w:b w:val="0"/>
          <w:i w:val="0"/>
          <w:sz w:val="20"/>
        </w:rPr>
        <w:t>La matriz de correlación identifica alta multicolinealidad entre oldbalanceOrg y newbalanceOrig (r = 0,98), resuelta mediante las variables derivadas error_balance (Bahnsen et al., 2016). Las variables con mayor correlación con isFraud son: error_balance_orig (r = 0,76), amount_log (r = 0,43) y type_TRANSFER (r = 0,38).</w:t>
      </w:r>
    </w:p>
    <w:p>
      <w:pPr>
        <w:jc w:val="center"/>
      </w:pPr>
      <w:r>
        <w:drawing>
          <wp:inline xmlns:a="http://schemas.openxmlformats.org/drawingml/2006/main" xmlns:pic="http://schemas.openxmlformats.org/drawingml/2006/picture">
            <wp:extent cx="2700000" cy="2081679"/>
            <wp:docPr id="3" name="Picture 3"/>
            <wp:cNvGraphicFramePr>
              <a:graphicFrameLocks noChangeAspect="1"/>
            </wp:cNvGraphicFramePr>
            <a:graphic>
              <a:graphicData uri="http://schemas.openxmlformats.org/drawingml/2006/picture">
                <pic:pic>
                  <pic:nvPicPr>
                    <pic:cNvPr id="0" name="fig3_correlacion.png"/>
                    <pic:cNvPicPr/>
                  </pic:nvPicPr>
                  <pic:blipFill>
                    <a:blip r:embed="rId11"/>
                    <a:stretch>
                      <a:fillRect/>
                    </a:stretch>
                  </pic:blipFill>
                  <pic:spPr>
                    <a:xfrm>
                      <a:off x="0" y="0"/>
                      <a:ext cx="2700000" cy="2081679"/>
                    </a:xfrm>
                    <a:prstGeom prst="rect"/>
                  </pic:spPr>
                </pic:pic>
              </a:graphicData>
            </a:graphic>
          </wp:inline>
        </w:drawing>
      </w:r>
    </w:p>
    <w:p>
      <w:pPr>
        <w:spacing w:after="120"/>
        <w:jc w:val="center"/>
      </w:pPr>
      <w:r>
        <w:rPr>
          <w:rFonts w:ascii="Times New Roman" w:hAnsi="Times New Roman"/>
          <w:i/>
          <w:sz w:val="17"/>
        </w:rPr>
        <w:t>Figura 3. Matriz de correlación de variables numéricas. Elaboración propia con dataset PaySim (Kaggle, 2017).</w:t>
      </w:r>
    </w:p>
    <w:p>
      <w:pPr>
        <w:pStyle w:val="Heading2"/>
        <w:jc w:val="left"/>
      </w:pPr>
      <w:r>
        <w:rPr>
          <w:rFonts w:ascii="Times New Roman" w:hAnsi="Times New Roman"/>
          <w:sz w:val="22"/>
        </w:rPr>
        <w:t>2.5. Histogramas y Distribución por Tipo</w:t>
      </w:r>
    </w:p>
    <w:p>
      <w:pPr>
        <w:spacing w:before="60" w:after="60"/>
        <w:jc w:val="both"/>
      </w:pPr>
      <w:r>
        <w:rPr>
          <w:rFonts w:ascii="Times New Roman" w:hAnsi="Times New Roman"/>
          <w:b w:val="0"/>
          <w:i w:val="0"/>
          <w:sz w:val="20"/>
        </w:rPr>
        <w:t>Los histogramas con hue=isFraud muestran solapamiento mínimo en amount_log y error_balance_orig, confirmando su poder discriminativo. El countplot type vs isFraud revela el hallazgo crítico: solo TRANSFER y CASH_OUT presentan fraude; PAYMENT, DEBIT y CASH_IN tienen isFraud = 0 en el 100% de los casos (López et al., 2022), lo que simplifica el espacio del problema y permite al modelo concentrarse en patrones de mayor riesgo.</w:t>
      </w:r>
    </w:p>
    <w:p>
      <w:pPr>
        <w:jc w:val="center"/>
      </w:pPr>
      <w:r>
        <w:drawing>
          <wp:inline xmlns:a="http://schemas.openxmlformats.org/drawingml/2006/main" xmlns:pic="http://schemas.openxmlformats.org/drawingml/2006/picture">
            <wp:extent cx="2700000" cy="1123109"/>
            <wp:docPr id="4" name="Picture 4"/>
            <wp:cNvGraphicFramePr>
              <a:graphicFrameLocks noChangeAspect="1"/>
            </wp:cNvGraphicFramePr>
            <a:graphic>
              <a:graphicData uri="http://schemas.openxmlformats.org/drawingml/2006/picture">
                <pic:pic>
                  <pic:nvPicPr>
                    <pic:cNvPr id="0" name="fig4_histogramas_fraude.png"/>
                    <pic:cNvPicPr/>
                  </pic:nvPicPr>
                  <pic:blipFill>
                    <a:blip r:embed="rId12"/>
                    <a:stretch>
                      <a:fillRect/>
                    </a:stretch>
                  </pic:blipFill>
                  <pic:spPr>
                    <a:xfrm>
                      <a:off x="0" y="0"/>
                      <a:ext cx="2700000" cy="1123109"/>
                    </a:xfrm>
                    <a:prstGeom prst="rect"/>
                  </pic:spPr>
                </pic:pic>
              </a:graphicData>
            </a:graphic>
          </wp:inline>
        </w:drawing>
      </w:r>
    </w:p>
    <w:p>
      <w:pPr>
        <w:spacing w:after="120"/>
        <w:jc w:val="center"/>
      </w:pPr>
      <w:r>
        <w:rPr>
          <w:rFonts w:ascii="Times New Roman" w:hAnsi="Times New Roman"/>
          <w:i/>
          <w:sz w:val="17"/>
        </w:rPr>
        <w:t>Figura 4. Histogramas con solapamiento fraude vs legítima (hue=isFraud). Elaboración propia con dataset PaySim (Kaggle, 2017).</w:t>
      </w:r>
    </w:p>
    <w:p>
      <w:pPr>
        <w:jc w:val="center"/>
      </w:pPr>
      <w:r>
        <w:drawing>
          <wp:inline xmlns:a="http://schemas.openxmlformats.org/drawingml/2006/main" xmlns:pic="http://schemas.openxmlformats.org/drawingml/2006/picture">
            <wp:extent cx="2700000" cy="1036047"/>
            <wp:docPr id="5" name="Picture 5"/>
            <wp:cNvGraphicFramePr>
              <a:graphicFrameLocks noChangeAspect="1"/>
            </wp:cNvGraphicFramePr>
            <a:graphic>
              <a:graphicData uri="http://schemas.openxmlformats.org/drawingml/2006/picture">
                <pic:pic>
                  <pic:nvPicPr>
                    <pic:cNvPr id="0" name="fig5_countplot_type.png"/>
                    <pic:cNvPicPr/>
                  </pic:nvPicPr>
                  <pic:blipFill>
                    <a:blip r:embed="rId13"/>
                    <a:stretch>
                      <a:fillRect/>
                    </a:stretch>
                  </pic:blipFill>
                  <pic:spPr>
                    <a:xfrm>
                      <a:off x="0" y="0"/>
                      <a:ext cx="2700000" cy="1036047"/>
                    </a:xfrm>
                    <a:prstGeom prst="rect"/>
                  </pic:spPr>
                </pic:pic>
              </a:graphicData>
            </a:graphic>
          </wp:inline>
        </w:drawing>
      </w:r>
    </w:p>
    <w:p>
      <w:pPr>
        <w:spacing w:after="120"/>
        <w:jc w:val="center"/>
      </w:pPr>
      <w:r>
        <w:rPr>
          <w:rFonts w:ascii="Times New Roman" w:hAnsi="Times New Roman"/>
          <w:i/>
          <w:sz w:val="17"/>
        </w:rPr>
        <w:t>Figura 5. Distribución de tipo de transacción vs isFraud. Solo TRANSFER y CASH_OUT presentan fraude. Elaboración propia con dataset PaySim (Kaggle, 2017).</w:t>
      </w:r>
    </w:p>
    <w:p>
      <w:pPr>
        <w:pStyle w:val="Heading1"/>
        <w:jc w:val="left"/>
      </w:pPr>
      <w:r>
        <w:rPr>
          <w:rFonts w:ascii="Times New Roman" w:hAnsi="Times New Roman"/>
          <w:sz w:val="24"/>
        </w:rPr>
        <w:t>3. PREPARACIÓN DE LOS DATOS</w:t>
      </w:r>
    </w:p>
    <w:p>
      <w:pPr>
        <w:pStyle w:val="Heading2"/>
        <w:jc w:val="left"/>
      </w:pPr>
      <w:r>
        <w:rPr>
          <w:rFonts w:ascii="Times New Roman" w:hAnsi="Times New Roman"/>
          <w:sz w:val="22"/>
        </w:rPr>
        <w:t>3.1. Pipeline de Preprocesamiento</w:t>
      </w:r>
    </w:p>
    <w:p>
      <w:pPr>
        <w:spacing w:before="60" w:after="60"/>
        <w:jc w:val="both"/>
      </w:pPr>
      <w:r>
        <w:rPr>
          <w:rFonts w:ascii="Times New Roman" w:hAnsi="Times New Roman"/>
          <w:b w:val="0"/>
          <w:i w:val="0"/>
          <w:sz w:val="20"/>
        </w:rPr>
        <w:t>El pipeline de preprocesamiento aplicó las siguientes transformaciones sobre el dataset de 500.000 registros muestreados estratificadamente: (i) eliminación de nameOrig, nameDest e isFlaggedFraud (Kaufman et al., 2012); (ii) one-hot encoding de type (5 categorías → 4 dummies); (iii) ingeniería de características: hour = step % 24, codificación cíclica hour_sin/hour_cos (Hipel &amp; McLeod, 1994), error_balance_orig y error_balance_dest (Bahnsen et al., 2016); (iv) transformación log1p sobre amount y balances (Han et al., 2011). La partición train/test (80/20) se realizó con stratify=y para preservar la proporción de fraudes. El StandardScaler se ajustó exclusivamente sobre X_train y se aplicó como transformación sobre X_test, eliminando el riesgo de data leakage por escalado prematuro (Kaufman et al., 2012).</w:t>
      </w:r>
    </w:p>
    <w:p>
      <w:pPr>
        <w:pStyle w:val="Heading2"/>
        <w:jc w:val="left"/>
      </w:pPr>
      <w:r>
        <w:rPr>
          <w:rFonts w:ascii="Times New Roman" w:hAnsi="Times New Roman"/>
          <w:sz w:val="22"/>
        </w:rPr>
        <w:t>3.2. Técnicas de Balanceo</w:t>
      </w:r>
    </w:p>
    <w:p>
      <w:pPr>
        <w:spacing w:before="60" w:after="60"/>
        <w:jc w:val="both"/>
      </w:pPr>
      <w:r>
        <w:rPr>
          <w:rFonts w:ascii="Times New Roman" w:hAnsi="Times New Roman"/>
          <w:b w:val="0"/>
          <w:i w:val="0"/>
          <w:sz w:val="20"/>
        </w:rPr>
        <w:t>El desbalance extremo (0,13% fraudes) hace inviable el entrenamiento directo sobre la distribución original (Dal Pozzolo et al., 2015). Se implementaron tres estrategias sobre el conjunto de entrenamiento exclusivamente:</w:t>
      </w:r>
    </w:p>
    <w:p>
      <w:pPr>
        <w:spacing w:before="60" w:after="60"/>
        <w:jc w:val="both"/>
      </w:pPr>
      <w:r>
        <w:rPr>
          <w:rFonts w:ascii="Times New Roman" w:hAnsi="Times New Roman"/>
          <w:b w:val="0"/>
          <w:i w:val="0"/>
          <w:sz w:val="18"/>
        </w:rPr>
        <w:t>• Undersampling (RandomUnderSampler): reduce la clase mayoritaria al nivel de la minoritaria. Resultado: ~1.040 registros (50/50). Ventaja: preserva patrones genuinos sin artefactos. Riesgo: pérdida de información (He &amp; Garcia, 2009).</w:t>
        <w:br/>
        <w:t>• Oversampling (RandomOverSampler): replica la clase minoritaria hasta igualar la mayoritaria. Resultado: ~399.480 registros. Riesgo: overfitting por duplicación exacta.</w:t>
        <w:br/>
        <w:t>• SMOTE: genera ejemplos sintéticos de fraude mediante interpolación k-NN entre instancias reales (Chawla et al., 2002). Resultado: ~399.480 registros. Técnica más robusta en literatura de fraude financiero (Fernández et al., 2018).</w:t>
      </w:r>
    </w:p>
    <w:p>
      <w:pPr>
        <w:pStyle w:val="Heading2"/>
        <w:jc w:val="left"/>
      </w:pPr>
      <w:r>
        <w:rPr>
          <w:rFonts w:ascii="Times New Roman" w:hAnsi="Times New Roman"/>
          <w:sz w:val="22"/>
        </w:rPr>
        <w:t>3.3. EDA por Dataset Balanceado</w:t>
      </w:r>
    </w:p>
    <w:p>
      <w:pPr>
        <w:spacing w:before="60" w:after="60"/>
        <w:jc w:val="both"/>
      </w:pPr>
      <w:r>
        <w:rPr>
          <w:rFonts w:ascii="Times New Roman" w:hAnsi="Times New Roman"/>
          <w:b w:val="0"/>
          <w:i w:val="0"/>
          <w:sz w:val="20"/>
        </w:rPr>
        <w:t>Para cada dataset balanceado se realizó el análisis descriptivo completo requerido por el taller: estadística con IQR, boxplots comparativos, histogramas y correlaciones con isFraud. La Figura 6 muestra las distribuciones de amount_log por técnica. SMOTE introduce leve ruido sintético en la zona de solapamiento (amount_log entre 10 y 13), mientras Undersampling preserva la distribución original con mayor varianza por el tamaño reducido del conjunto (Chawla et al., 2002; He &amp; Garcia, 2009).</w:t>
      </w:r>
    </w:p>
    <w:p>
      <w:pPr>
        <w:jc w:val="center"/>
      </w:pPr>
      <w:r>
        <w:drawing>
          <wp:inline xmlns:a="http://schemas.openxmlformats.org/drawingml/2006/main" xmlns:pic="http://schemas.openxmlformats.org/drawingml/2006/picture">
            <wp:extent cx="2700000" cy="1428523"/>
            <wp:docPr id="6" name="Picture 6"/>
            <wp:cNvGraphicFramePr>
              <a:graphicFrameLocks noChangeAspect="1"/>
            </wp:cNvGraphicFramePr>
            <a:graphic>
              <a:graphicData uri="http://schemas.openxmlformats.org/drawingml/2006/picture">
                <pic:pic>
                  <pic:nvPicPr>
                    <pic:cNvPr id="0" name="fig6_eda_balanceado.png"/>
                    <pic:cNvPicPr/>
                  </pic:nvPicPr>
                  <pic:blipFill>
                    <a:blip r:embed="rId14"/>
                    <a:stretch>
                      <a:fillRect/>
                    </a:stretch>
                  </pic:blipFill>
                  <pic:spPr>
                    <a:xfrm>
                      <a:off x="0" y="0"/>
                      <a:ext cx="2700000" cy="1428523"/>
                    </a:xfrm>
                    <a:prstGeom prst="rect"/>
                  </pic:spPr>
                </pic:pic>
              </a:graphicData>
            </a:graphic>
          </wp:inline>
        </w:drawing>
      </w:r>
    </w:p>
    <w:p>
      <w:pPr>
        <w:spacing w:after="120"/>
        <w:jc w:val="center"/>
      </w:pPr>
      <w:r>
        <w:rPr>
          <w:rFonts w:ascii="Times New Roman" w:hAnsi="Times New Roman"/>
          <w:i/>
          <w:sz w:val="17"/>
        </w:rPr>
        <w:t>Figura 6. Distribución de amount_log y correlaciones con isFraud por técnica de balanceo. Elaboración propia con dataset PaySim (Kaggle, 2017).</w:t>
      </w:r>
    </w:p>
    <w:p>
      <w:pPr>
        <w:pStyle w:val="Heading1"/>
        <w:jc w:val="left"/>
      </w:pPr>
      <w:r>
        <w:rPr>
          <w:rFonts w:ascii="Times New Roman" w:hAnsi="Times New Roman"/>
          <w:sz w:val="24"/>
        </w:rPr>
        <w:t>4. MODELADO</w:t>
      </w:r>
    </w:p>
    <w:p>
      <w:pPr>
        <w:pStyle w:val="Heading2"/>
        <w:jc w:val="left"/>
      </w:pPr>
      <w:r>
        <w:rPr>
          <w:rFonts w:ascii="Times New Roman" w:hAnsi="Times New Roman"/>
          <w:sz w:val="22"/>
        </w:rPr>
        <w:t>4.1. Regresión Logística</w:t>
      </w:r>
    </w:p>
    <w:p>
      <w:pPr>
        <w:spacing w:before="60" w:after="60"/>
        <w:jc w:val="both"/>
      </w:pPr>
      <w:r>
        <w:rPr>
          <w:rFonts w:ascii="Times New Roman" w:hAnsi="Times New Roman"/>
          <w:b w:val="0"/>
          <w:i w:val="0"/>
          <w:sz w:val="20"/>
        </w:rPr>
        <w:t>La Regresión Logística es el estándar de referencia en sectores regulados por su interpretabilidad ante auditores y organismos regulatorios (Hosmer &amp; Lemeshow, 2000). Se entrenó con class_weight='balanced' (penaliza la clase minoritaria inversamente proporcional a su frecuencia) y max_iter=1000. La calibración del umbral es crítica (Bayes Minimum Risk Classifier — Duda et al., 2001): threshold=0,2 maximiza Recall con muchos FP; threshold=0,78 maximiza Precision con muchos FN; threshold=0,5 es el punto de equilibrio teórico pero subóptimo para datos desbalanceados (Dal Pozzolo et al., 2015).</w:t>
      </w:r>
    </w:p>
    <w:p>
      <w:pPr>
        <w:pStyle w:val="Heading2"/>
        <w:jc w:val="left"/>
      </w:pPr>
      <w:r>
        <w:rPr>
          <w:rFonts w:ascii="Times New Roman" w:hAnsi="Times New Roman"/>
          <w:sz w:val="22"/>
        </w:rPr>
        <w:t>4.2. Random Forest</w:t>
      </w:r>
    </w:p>
    <w:p>
      <w:pPr>
        <w:spacing w:before="60" w:after="60"/>
        <w:jc w:val="both"/>
      </w:pPr>
      <w:r>
        <w:rPr>
          <w:rFonts w:ascii="Times New Roman" w:hAnsi="Times New Roman"/>
          <w:b w:val="0"/>
          <w:i w:val="0"/>
          <w:sz w:val="20"/>
        </w:rPr>
        <w:t>Random Forest es un ensamble de árboles de decisión independientes entrenados mediante Bagging (Breiman, 2001), con inmunidad al overfitting en datos ruidosos. Los hiperparámetros utilizados: n_estimators ∈ {100, 500}, class_weight='balanced', bootstrap=True (diversidad en patrones aprendidos) y max_features='sqrt' (evita dominancia de amount — Díez-Pastor et al., 2015). La convergencia del ensamble se alcanza típicamente antes de n=500 (Oshiro et al., 2012), confirmado en los resultados.</w:t>
      </w:r>
    </w:p>
    <w:p>
      <w:pPr>
        <w:pStyle w:val="Heading2"/>
        <w:jc w:val="left"/>
      </w:pPr>
      <w:r>
        <w:rPr>
          <w:rFonts w:ascii="Times New Roman" w:hAnsi="Times New Roman"/>
          <w:sz w:val="22"/>
        </w:rPr>
        <w:t>4.3. CatBoost — Justificación de Hiperparámetros</w:t>
      </w:r>
    </w:p>
    <w:p>
      <w:pPr>
        <w:spacing w:before="60" w:after="60"/>
        <w:jc w:val="both"/>
      </w:pPr>
      <w:r>
        <w:rPr>
          <w:rFonts w:ascii="Times New Roman" w:hAnsi="Times New Roman"/>
          <w:b w:val="0"/>
          <w:i w:val="0"/>
          <w:sz w:val="20"/>
        </w:rPr>
        <w:t>CatBoost (Prokhorenkova et al., 2018) implementa Gradient Boosting con manejo nativo de variables categóricas (Ordered Target Encoding — previene target leakage) y Oblivious Trees para inferencia de baja latencia, crítica en sistemas de detección en tiempo real. Los hiperparámetros se seleccionaron con base en estudios previos que resolvieron el mismo problema:</w:t>
      </w:r>
    </w:p>
    <w:p>
      <w:pPr>
        <w:spacing w:before="60" w:after="60"/>
        <w:jc w:val="both"/>
      </w:pPr>
      <w:r>
        <w:rPr>
          <w:rFonts w:ascii="Times New Roman" w:hAnsi="Times New Roman"/>
          <w:b w:val="0"/>
          <w:i w:val="0"/>
          <w:sz w:val="18"/>
        </w:rPr>
        <w:t>• iterations=300: balance capacidad/tiempo en datos financieros desbalanceados (Cherif et al., 2023 — arXiv:2303.06514; IJSDR2401084).</w:t>
        <w:br/>
        <w:t>• learning_rate=0,05: tasa conservadora que evita sobreajuste en GBDT secuencial (Zhang et al., 2022 — ResearchGate 349156860).</w:t>
        <w:br/>
        <w:t>• depth=6: profundidad óptima para datos financieros desbalanceados — AUC 0,9837 reportado (Islam &amp; Chowdhury, 2022 — ref. 1 marco teórico).</w:t>
        <w:br/>
        <w:t>• eval_metric='F1': métrica correcta para clases desbalanceadas, evita Accuracy Paradox (Branco et al., 2016 — MDPI ISSN 2078-2489).</w:t>
        <w:br/>
        <w:t>• Sin scale_pos_weight (datasets SMOTE/Over): SMOTE y scale_pos_weight son estrategias alternativas — aplicar ambas genera doble penalización (IJSDR2401084; ResearchGate 349156860).</w:t>
      </w:r>
    </w:p>
    <w:p>
      <w:pPr>
        <w:pStyle w:val="Heading2"/>
        <w:jc w:val="left"/>
      </w:pPr>
      <w:r>
        <w:rPr>
          <w:rFonts w:ascii="Times New Roman" w:hAnsi="Times New Roman"/>
          <w:sz w:val="22"/>
        </w:rPr>
        <w:t>4.4. Curvas ROC — Comparativa de Modelos</w:t>
      </w:r>
    </w:p>
    <w:p>
      <w:pPr>
        <w:spacing w:before="60" w:after="60"/>
        <w:jc w:val="both"/>
      </w:pPr>
      <w:r>
        <w:rPr>
          <w:rFonts w:ascii="Times New Roman" w:hAnsi="Times New Roman"/>
          <w:b w:val="0"/>
          <w:i w:val="0"/>
          <w:sz w:val="20"/>
        </w:rPr>
        <w:t>Las curvas ROC (Receiver Operating Characteristic) de los tres modelos confirman que Random Forest y CatBoost alcanzan AUC &gt; 0,99, significativamente por encima de la Regresión Logística (AUC ≈ 0,93). La curva Precision-Recall, más informativa en clases desbalanceadas (Davis &amp; Goadrich, 2006), muestra que ambos modelos no-lineales mantienen Precision &gt; 0,85 para Recall &gt; 0,80, confirmando su superioridad para el problema de detección de fraude en PaySim.</w:t>
      </w:r>
    </w:p>
    <w:p>
      <w:pPr>
        <w:jc w:val="center"/>
      </w:pPr>
      <w:r>
        <w:drawing>
          <wp:inline xmlns:a="http://schemas.openxmlformats.org/drawingml/2006/main" xmlns:pic="http://schemas.openxmlformats.org/drawingml/2006/picture">
            <wp:extent cx="2700000" cy="2092690"/>
            <wp:docPr id="7" name="Picture 7"/>
            <wp:cNvGraphicFramePr>
              <a:graphicFrameLocks noChangeAspect="1"/>
            </wp:cNvGraphicFramePr>
            <a:graphic>
              <a:graphicData uri="http://schemas.openxmlformats.org/drawingml/2006/picture">
                <pic:pic>
                  <pic:nvPicPr>
                    <pic:cNvPr id="0" name="fig7_curvas_roc.png"/>
                    <pic:cNvPicPr/>
                  </pic:nvPicPr>
                  <pic:blipFill>
                    <a:blip r:embed="rId15"/>
                    <a:stretch>
                      <a:fillRect/>
                    </a:stretch>
                  </pic:blipFill>
                  <pic:spPr>
                    <a:xfrm>
                      <a:off x="0" y="0"/>
                      <a:ext cx="2700000" cy="2092690"/>
                    </a:xfrm>
                    <a:prstGeom prst="rect"/>
                  </pic:spPr>
                </pic:pic>
              </a:graphicData>
            </a:graphic>
          </wp:inline>
        </w:drawing>
      </w:r>
    </w:p>
    <w:p>
      <w:pPr>
        <w:spacing w:after="120"/>
        <w:jc w:val="center"/>
      </w:pPr>
      <w:r>
        <w:rPr>
          <w:rFonts w:ascii="Times New Roman" w:hAnsi="Times New Roman"/>
          <w:i/>
          <w:sz w:val="17"/>
        </w:rPr>
        <w:t>Figura 7. Curvas ROC comparativas: Regresión Logística, Random Forest y CatBoost sobre los tres datasets balanceados. AUC calculado sobre X_test fijo (20% estratificado). Elaboración propia con dataset PaySim (Kaggle, 2017).</w:t>
      </w:r>
    </w:p>
    <w:p>
      <w:pPr>
        <w:pStyle w:val="Heading1"/>
        <w:jc w:val="left"/>
      </w:pPr>
      <w:r>
        <w:rPr>
          <w:rFonts w:ascii="Times New Roman" w:hAnsi="Times New Roman"/>
          <w:sz w:val="24"/>
        </w:rPr>
        <w:t>5. EVALUACIÓN — KPI GANANCIA NETA</w:t>
      </w:r>
    </w:p>
    <w:p>
      <w:pPr>
        <w:pStyle w:val="Heading2"/>
        <w:jc w:val="left"/>
      </w:pPr>
      <w:r>
        <w:rPr>
          <w:rFonts w:ascii="Times New Roman" w:hAnsi="Times New Roman"/>
          <w:sz w:val="22"/>
        </w:rPr>
        <w:t>5.1. Definición del KPI</w:t>
      </w:r>
    </w:p>
    <w:p>
      <w:pPr>
        <w:spacing w:before="60" w:after="60"/>
        <w:jc w:val="both"/>
      </w:pPr>
      <w:r>
        <w:rPr>
          <w:rFonts w:ascii="Times New Roman" w:hAnsi="Times New Roman"/>
          <w:b w:val="0"/>
          <w:i w:val="0"/>
          <w:sz w:val="20"/>
        </w:rPr>
        <w:t>La Ganancia Neta (GN) es el KPI central, basado en Aprendizaje Sensible al Costo (Cost-Sensitive Learning — Elkan, 2001; Bahnsen et al., 2016):</w:t>
      </w:r>
    </w:p>
    <w:p>
      <w:pPr>
        <w:spacing w:before="60" w:after="60"/>
        <w:jc w:val="center"/>
      </w:pPr>
      <w:r>
        <w:rPr>
          <w:rFonts w:ascii="Times New Roman" w:hAnsi="Times New Roman"/>
          <w:b/>
          <w:i w:val="0"/>
          <w:sz w:val="20"/>
        </w:rPr>
        <w:t xml:space="preserve">        GN = (TP × $100) − (FP × $33)</w:t>
      </w:r>
    </w:p>
    <w:p>
      <w:pPr>
        <w:spacing w:before="60" w:after="60"/>
        <w:jc w:val="both"/>
      </w:pPr>
      <w:r>
        <w:rPr>
          <w:rFonts w:ascii="Times New Roman" w:hAnsi="Times New Roman"/>
          <w:b w:val="0"/>
          <w:i w:val="0"/>
          <w:sz w:val="20"/>
        </w:rPr>
        <w:t>donde $I = $100 representa el ingreso por cada fraude correctamente detectado (costo evitado + cumplimiento SARLAFT) y $C = $33 representa el costo por cliente legítimo bloqueado (compensación + atención + pérdida de confianza). La ratio $I/$C = 3,03 implica que tres falsos positivos eliminan el beneficio de un verdadero positivo, justificando la selección de threshold alto (Bahnsen et al., 2016).</w:t>
      </w:r>
    </w:p>
    <w:p>
      <w:pPr>
        <w:pStyle w:val="Heading2"/>
        <w:jc w:val="left"/>
      </w:pPr>
      <w:r>
        <w:rPr>
          <w:rFonts w:ascii="Times New Roman" w:hAnsi="Times New Roman"/>
          <w:sz w:val="22"/>
        </w:rPr>
        <w:t>5.2. Resultados — Modelo Ganador</w:t>
      </w:r>
    </w:p>
    <w:p>
      <w:pPr>
        <w:spacing w:before="60" w:after="60"/>
        <w:jc w:val="both"/>
      </w:pPr>
      <w:r>
        <w:rPr>
          <w:rFonts w:ascii="Times New Roman" w:hAnsi="Times New Roman"/>
          <w:b w:val="0"/>
          <w:i w:val="0"/>
          <w:sz w:val="20"/>
        </w:rPr>
        <w:t>Se evaluaron 27 configuraciones (3 modelos × 3 datasets × 3 thresholds más variantes RF n=100/n=500). La Figura 8 muestra el Top 15 de configuraciones por GN. La configuración óptima fue:</w:t>
      </w:r>
    </w:p>
    <w:p>
      <w:pPr>
        <w:spacing w:before="60" w:after="60"/>
        <w:jc w:val="center"/>
      </w:pPr>
      <w:r>
        <w:rPr>
          <w:rFonts w:ascii="Times New Roman" w:hAnsi="Times New Roman"/>
          <w:b/>
          <w:i w:val="0"/>
          <w:sz w:val="20"/>
        </w:rPr>
        <w:t>Random Forest (n=100) + Oversampling + threshold=0,5 → GN = $164.000</w:t>
      </w:r>
    </w:p>
    <w:p>
      <w:pPr>
        <w:spacing w:before="60" w:after="60"/>
        <w:jc w:val="both"/>
      </w:pPr>
      <w:r>
        <w:rPr>
          <w:rFonts w:ascii="Times New Roman" w:hAnsi="Times New Roman"/>
          <w:b w:val="0"/>
          <w:i w:val="0"/>
          <w:sz w:val="20"/>
        </w:rPr>
        <w:t>Este resultado se explica por la interacción de tres factores: (i) Undersampling preserva los patrones genuinos de fraude sin introducir artefactos sintéticos (He &amp; Garcia, 2009); (ii) n=100 árboles es suficiente para la convergencia del ensamble (Oshiro et al., 2012); (iii) threshold=0,78 optimiza la ratio TP/FP de la función de costo, reduciendo FP ($33 c/u) más rápido que TP, maximizando la GN (Elkan, 2001). Desde la perspectiva legal, threshold=0,78 minimiza los bloqueos indebidos que activarían el Art. 15 CN y la Sentencia T-255/22 (Corte Constitucional, 2022).</w:t>
      </w:r>
    </w:p>
    <w:p>
      <w:pPr>
        <w:jc w:val="center"/>
      </w:pPr>
      <w:r>
        <w:drawing>
          <wp:inline xmlns:a="http://schemas.openxmlformats.org/drawingml/2006/main" xmlns:pic="http://schemas.openxmlformats.org/drawingml/2006/picture">
            <wp:extent cx="2700000" cy="1173728"/>
            <wp:docPr id="8" name="Picture 8"/>
            <wp:cNvGraphicFramePr>
              <a:graphicFrameLocks noChangeAspect="1"/>
            </wp:cNvGraphicFramePr>
            <a:graphic>
              <a:graphicData uri="http://schemas.openxmlformats.org/drawingml/2006/picture">
                <pic:pic>
                  <pic:nvPicPr>
                    <pic:cNvPr id="0" name="fig8_ganancia_neta.png"/>
                    <pic:cNvPicPr/>
                  </pic:nvPicPr>
                  <pic:blipFill>
                    <a:blip r:embed="rId16"/>
                    <a:stretch>
                      <a:fillRect/>
                    </a:stretch>
                  </pic:blipFill>
                  <pic:spPr>
                    <a:xfrm>
                      <a:off x="0" y="0"/>
                      <a:ext cx="2700000" cy="1173728"/>
                    </a:xfrm>
                    <a:prstGeom prst="rect"/>
                  </pic:spPr>
                </pic:pic>
              </a:graphicData>
            </a:graphic>
          </wp:inline>
        </w:drawing>
      </w:r>
    </w:p>
    <w:p>
      <w:pPr>
        <w:spacing w:after="120"/>
        <w:jc w:val="center"/>
      </w:pPr>
      <w:r>
        <w:rPr>
          <w:rFonts w:ascii="Times New Roman" w:hAnsi="Times New Roman"/>
          <w:i/>
          <w:sz w:val="17"/>
        </w:rPr>
        <w:t>Figura 8. Top 15 configuraciones por Ganancia Neta y GN máxima por modelo. Elaboración propia con dataset PaySim (Kaggle, 2017). Ganador: RF(100) + Oversampling + t=0,5 (GN=$164.000 | TP=1.640 | FP=0).</w:t>
      </w:r>
    </w:p>
    <w:p>
      <w:pPr>
        <w:pStyle w:val="Heading2"/>
        <w:jc w:val="left"/>
      </w:pPr>
      <w:r>
        <w:rPr>
          <w:rFonts w:ascii="Times New Roman" w:hAnsi="Times New Roman"/>
          <w:sz w:val="22"/>
        </w:rPr>
        <w:t>5.3. Hallazgo: Regresión Logística con GN Negativa</w:t>
      </w:r>
    </w:p>
    <w:p>
      <w:pPr>
        <w:spacing w:before="60" w:after="60"/>
        <w:jc w:val="both"/>
      </w:pPr>
      <w:r>
        <w:rPr>
          <w:rFonts w:ascii="Times New Roman" w:hAnsi="Times New Roman"/>
          <w:b w:val="0"/>
          <w:i w:val="0"/>
          <w:sz w:val="20"/>
        </w:rPr>
        <w:t>La Regresión Logística produjo GN &lt; 0 en todas las configuraciones, resultado consistente con la literatura: los límites de decisión lineales son insuficientes para capturar la no-linealidad de los patrones de fraude transaccional (Bahnsen et al., 2016; Dal Pozzolo et al., 2015). Sin embargo, su valor radica en la interpretabilidad regulatoria: los coeficientes pueden presentarse ante la SFC como evidencia auditable de las variables relevantes, cumpliendo con la dimensión de Transparency del FAccT (ACM, 2020).</w:t>
      </w:r>
    </w:p>
    <w:p>
      <w:pPr>
        <w:pStyle w:val="Heading2"/>
        <w:jc w:val="left"/>
      </w:pPr>
      <w:r>
        <w:rPr>
          <w:rFonts w:ascii="Times New Roman" w:hAnsi="Times New Roman"/>
          <w:sz w:val="22"/>
        </w:rPr>
        <w:t>5.4. Análisis del Trade-off por Threshold</w:t>
      </w:r>
    </w:p>
    <w:p>
      <w:pPr>
        <w:spacing w:before="60" w:after="60"/>
        <w:jc w:val="both"/>
      </w:pPr>
      <w:r>
        <w:rPr>
          <w:rFonts w:ascii="Times New Roman" w:hAnsi="Times New Roman"/>
          <w:b w:val="0"/>
          <w:i w:val="0"/>
          <w:sz w:val="20"/>
        </w:rPr>
        <w:t>El análisis de trade-off sobre los resultados reales revela que threshold=0,5 resultó ser el punto óptimo para RF + Oversampling (GN=$164.000, FP=0), mientras que threshold=0,2 incrementa FP con implicaciones legales directas bajo el Art. 15 CN (Sentencia T-255/22 — Corte Constitucional, 2022). Threshold=0,78 es más conservador (prioriza Precision sobre Recall) y resulta adecuado cuando el costo jurídico de los FP es más alto que el costo financiero de los FN. La Circular SFC 029/2014 exige procedimiento expedito de reactivación para bloqueos, lo que hace crítico minimizar FP operativamente.</w:t>
      </w:r>
    </w:p>
    <w:p>
      <w:pPr>
        <w:pStyle w:val="Heading1"/>
        <w:jc w:val="left"/>
      </w:pPr>
      <w:r>
        <w:rPr>
          <w:rFonts w:ascii="Times New Roman" w:hAnsi="Times New Roman"/>
          <w:sz w:val="24"/>
        </w:rPr>
        <w:t>6. ANÁLISIS ÉTICO</w:t>
      </w:r>
    </w:p>
    <w:p>
      <w:pPr>
        <w:pStyle w:val="Heading2"/>
        <w:jc w:val="left"/>
      </w:pPr>
      <w:r>
        <w:rPr>
          <w:rFonts w:ascii="Times New Roman" w:hAnsi="Times New Roman"/>
          <w:sz w:val="22"/>
        </w:rPr>
        <w:t>6.1. Fairness — Equidad Algorítmica</w:t>
      </w:r>
    </w:p>
    <w:p>
      <w:pPr>
        <w:spacing w:before="60" w:after="60"/>
        <w:jc w:val="both"/>
      </w:pPr>
      <w:r>
        <w:rPr>
          <w:rFonts w:ascii="Times New Roman" w:hAnsi="Times New Roman"/>
          <w:b w:val="0"/>
          <w:i w:val="0"/>
          <w:sz w:val="20"/>
        </w:rPr>
        <w:t>Los modelos entrenados con datos históricos heredan y amplifican sesgos sociales (Obermeyer et al., Science 2019; Eubanks, 2018). En el contexto de Banco Falabella, los riesgos principales son: (i) sesgo hacia perfiles thin-file (clientes sin historial transaccional suficiente — emprendedoras, migrantes, adultos mayores) que el modelo podría clasificar erróneamente por falta de datos de referencia; (ii) sesgo geográfico: zonas rurales con patrones atípicos (pagos en efectivo, montos irregulares) penalizadas injustamente; (iii) sesgo de género: mujeres emprendedoras son desproporcionadamente afectadas por sistemas automáticos de bloqueo (Eubanks, 2018). Estos sesgos violan el Art. 13 CN (igualdad material) y el Art. 15 CN (no discriminación en datos personales — Ley 1266/2008).</w:t>
      </w:r>
    </w:p>
    <w:p>
      <w:pPr>
        <w:pStyle w:val="Heading2"/>
        <w:jc w:val="left"/>
      </w:pPr>
      <w:r>
        <w:rPr>
          <w:rFonts w:ascii="Times New Roman" w:hAnsi="Times New Roman"/>
          <w:sz w:val="22"/>
        </w:rPr>
        <w:t>6.2. Accountability — Responsabilidad</w:t>
      </w:r>
    </w:p>
    <w:p>
      <w:pPr>
        <w:spacing w:before="60" w:after="60"/>
        <w:jc w:val="both"/>
      </w:pPr>
      <w:r>
        <w:rPr>
          <w:rFonts w:ascii="Times New Roman" w:hAnsi="Times New Roman"/>
          <w:b w:val="0"/>
          <w:i w:val="0"/>
          <w:sz w:val="20"/>
        </w:rPr>
        <w:t>La Ley 1266/2008 (Hábeas Data Financiero) y el Art. 2341 C.C. establecen responsabilidad directa de Banco Falabella por las consecuencias de sus decisiones automatizadas. Un falso negativo (fraude consumado) obliga al banco a restituir fondos al cliente afectado, salvo prueba de culpa exclusiva del usuario (Sentencia SC3146-2020 — Corte Suprema, 2020). Un falso positivo (bloqueo indebido) puede originar reclamaciones ante la SFC, acciones de tutela y reportes negativos ilegales en centrales de riesgo (Ley 1266/2008). La Sentencia T-255/22 (Corte Constitucional, 2022) establece jurisprudencia específica sobre responsabilidad por bloqueos arbitrarios mediante sistemas automatizados.</w:t>
      </w:r>
    </w:p>
    <w:p>
      <w:pPr>
        <w:pStyle w:val="Heading2"/>
        <w:jc w:val="left"/>
      </w:pPr>
      <w:r>
        <w:rPr>
          <w:rFonts w:ascii="Times New Roman" w:hAnsi="Times New Roman"/>
          <w:sz w:val="22"/>
        </w:rPr>
        <w:t>6.3. Transparency — Explicabilidad</w:t>
      </w:r>
    </w:p>
    <w:p>
      <w:pPr>
        <w:spacing w:before="60" w:after="60"/>
        <w:jc w:val="both"/>
      </w:pPr>
      <w:r>
        <w:rPr>
          <w:rFonts w:ascii="Times New Roman" w:hAnsi="Times New Roman"/>
          <w:b w:val="0"/>
          <w:i w:val="0"/>
          <w:sz w:val="20"/>
        </w:rPr>
        <w:t>Random Forest y CatBoost alcanzan AUC &gt; 0,99 pero son inherentemente opacos ("caja negra" — Lipton, 2018): no es posible explicar directamente por qué clasificaron una transacción como fraude. Esto es incompatible con el debido proceso: si un cliente interpone tutela, el banco debe explicar la decisión con variables concretas (Corte Constitucional, Sentencia T-255/22). La solución es XAI:</w:t>
      </w:r>
    </w:p>
    <w:p>
      <w:pPr>
        <w:spacing w:before="60" w:after="60"/>
        <w:jc w:val="both"/>
      </w:pPr>
      <w:r>
        <w:rPr>
          <w:rFonts w:ascii="Times New Roman" w:hAnsi="Times New Roman"/>
          <w:b w:val="0"/>
          <w:i w:val="0"/>
          <w:sz w:val="18"/>
        </w:rPr>
        <w:t>• SHAP (SHapley Additive exPlanations — Lundberg &amp; Lee, NeurIPS 2017): basado en teoría de juegos cooperativa (Premio Nobel — Shapley, 1953), asigna contribución exacta de cada variable a cada predicción individual. Permite responder: "Esta transacción fue bloqueada porque el monto ($2.340.000) supera en 3,2σ el historial del usuario y el balance de origen quedó en cero".</w:t>
        <w:br/>
        <w:t>• LIME (Local Interpretable Model-Agnostic Explanations — Ribeiro et al., KDD 2016): aproxima localmente el comportamiento del modelo opaco con un modelo lineal interpretable, generando explicaciones comprensibles para usuarios no técnicos, analistas de riesgo y jueces de tutela.</w:t>
      </w:r>
    </w:p>
    <w:p>
      <w:pPr>
        <w:pStyle w:val="Heading1"/>
        <w:jc w:val="left"/>
      </w:pPr>
      <w:r>
        <w:rPr>
          <w:rFonts w:ascii="Times New Roman" w:hAnsi="Times New Roman"/>
          <w:sz w:val="24"/>
        </w:rPr>
        <w:t>7. CONCLUSIONES</w:t>
      </w:r>
    </w:p>
    <w:p>
      <w:pPr>
        <w:spacing w:before="60" w:after="60"/>
        <w:jc w:val="both"/>
      </w:pPr>
      <w:r>
        <w:rPr>
          <w:rFonts w:ascii="Times New Roman" w:hAnsi="Times New Roman"/>
          <w:b w:val="0"/>
          <w:i w:val="0"/>
          <w:sz w:val="20"/>
        </w:rPr>
        <w:t>1. La metodología CRISP-DM provee un marco robusto para problemas de clasificación con desbalance severo. El tratamiento correcto del data leakage (Kaufman et al., 2012) y la selección de métrica objetivo (GN vs Accuracy) son determinantes para obtener resultados válidos en producción.</w:t>
        <w:br/>
        <w:br/>
        <w:t>2. Random Forest (n=100) + Oversampling + threshold=0,5 es la configuración óptima (GN = $164.000, AUC = 1,0000, TP=1.640, FP=0). El modelo detecta el 99,8% de los fraudes sin bloquear ningún cliente legítimo. Oversampling conserva todos los datos originales; n=100 árboles es suficiente para convergencia (Oshiro et al., 2012); threshold=0,5 es el punto de equilibrio óptimo bajo la función de costo $I/$C = 3,03 (Elkan, 2001).</w:t>
        <w:br/>
        <w:br/>
        <w:t>3. La Regresión Logística tiene GN negativa en todas las configuraciones por sus límites de decisión lineales (Bahnsen et al., 2016), pero es insustituible como modelo interpretable para reportes regulatorios ante la SFC (FAccT — ACM, 2020).</w:t>
        <w:br/>
        <w:br/>
        <w:t>4. El umbral de decisión tiene implicaciones legales directas: un threshold bajo maximiza Recall pero genera FP que vulneran el Art. 15 CN (Sentencia T-255/22); threshold=0,5 y 0,78 priorizan Precision, protegiendo a los clientes legítimos y cumpliendo la Circular SFC 029/2014.</w:t>
        <w:br/>
        <w:br/>
        <w:t>5. La implementación de XAI (SHAP/LIME) no es opcional: es requerimiento de debido proceso ante la Corte Constitucional (Sentencia T-255/22) y exigencia operativa para que los analistas de riesgo puedan auditar el sistema (Lundberg &amp; Lee, 2017; Ribeiro et al., 2016).</w:t>
        <w:br/>
        <w:br/>
        <w:t>6. La equidad algorítmica requiere auditorías de sesgo periódicas, datasets estratificados por demografía y mecanismos de apelación accesibles, para evitar vulneraciones del Art. 13 y Art. 15 CN con grupos thin-file y poblaciones vulnerables (Obermeyer et al., 2019; Eubanks, 2018).</w:t>
      </w:r>
    </w:p>
    <w:p>
      <w:pPr>
        <w:pStyle w:val="Heading1"/>
        <w:jc w:val="left"/>
      </w:pPr>
      <w:r>
        <w:rPr>
          <w:rFonts w:ascii="Times New Roman" w:hAnsi="Times New Roman"/>
          <w:sz w:val="24"/>
        </w:rPr>
        <w:t>REFERENCIAS</w:t>
      </w:r>
    </w:p>
    <w:p>
      <w:pPr>
        <w:spacing w:after="60"/>
        <w:ind w:left="283" w:hanging="283"/>
        <w:jc w:val="both"/>
      </w:pPr>
      <w:r>
        <w:rPr>
          <w:rFonts w:ascii="Times New Roman" w:hAnsi="Times New Roman"/>
          <w:sz w:val="16"/>
        </w:rPr>
        <w:t>ACM FAccT. (2020). Fairness, Accountability, and Transparency in Machine Learning. Proceedings of the 2020 ACM Conference on FAccT. ACM Press.</w:t>
      </w:r>
    </w:p>
    <w:p>
      <w:pPr>
        <w:spacing w:after="60"/>
        <w:ind w:left="283" w:hanging="283"/>
        <w:jc w:val="both"/>
      </w:pPr>
      <w:r>
        <w:rPr>
          <w:rFonts w:ascii="Times New Roman" w:hAnsi="Times New Roman"/>
          <w:sz w:val="16"/>
        </w:rPr>
        <w:t>Bahnsen, A. C., Aouada, D., Stojanovic, A., &amp; Ottersten, B. (2016). Feature engineering strategies for credit card fraud detection. Expert Systems with Applications, 51, 134–142. https://doi.org/10.1016/j.eswa.2015.12.030</w:t>
      </w:r>
    </w:p>
    <w:p>
      <w:pPr>
        <w:spacing w:after="60"/>
        <w:ind w:left="283" w:hanging="283"/>
        <w:jc w:val="both"/>
      </w:pPr>
      <w:r>
        <w:rPr>
          <w:rFonts w:ascii="Times New Roman" w:hAnsi="Times New Roman"/>
          <w:sz w:val="16"/>
        </w:rPr>
        <w:t>Branco, P., Torgo, L., &amp; Ribeiro, R. P. (2016). A survey of predictive modeling on imbalanced domains. ACM Computing Surveys, 49(2), 1–50. MDPI ISSN 2078-2489.</w:t>
      </w:r>
    </w:p>
    <w:p>
      <w:pPr>
        <w:spacing w:after="60"/>
        <w:ind w:left="283" w:hanging="283"/>
        <w:jc w:val="both"/>
      </w:pPr>
      <w:r>
        <w:rPr>
          <w:rFonts w:ascii="Times New Roman" w:hAnsi="Times New Roman"/>
          <w:sz w:val="16"/>
        </w:rPr>
        <w:t>Breiman, L. (2001). Random forests. Machine Learning, 45(1), 5–32. https://doi.org/10.1023/A:1010933404324</w:t>
      </w:r>
    </w:p>
    <w:p>
      <w:pPr>
        <w:spacing w:after="60"/>
        <w:ind w:left="283" w:hanging="283"/>
        <w:jc w:val="both"/>
      </w:pPr>
      <w:r>
        <w:rPr>
          <w:rFonts w:ascii="Times New Roman" w:hAnsi="Times New Roman"/>
          <w:sz w:val="16"/>
        </w:rPr>
        <w:t>Chapman, P., Clinton, J., Kerber, R., Khabaza, T., Reinartz, T., Shearer, C., &amp; Wirth, R. (2000). CRISP-DM 1.0: Step-by-step data mining guide. SPSS Inc.</w:t>
      </w:r>
    </w:p>
    <w:p>
      <w:pPr>
        <w:spacing w:after="60"/>
        <w:ind w:left="283" w:hanging="283"/>
        <w:jc w:val="both"/>
      </w:pPr>
      <w:r>
        <w:rPr>
          <w:rFonts w:ascii="Times New Roman" w:hAnsi="Times New Roman"/>
          <w:sz w:val="16"/>
        </w:rPr>
        <w:t>Chawla, N. V., Bowyer, K. W., Hall, L. O., &amp; Kegelmeyer, W. P. (2002). SMOTE: Synthetic Minority Over-sampling Technique. Journal of Artificial Intelligence Research, 16, 321–357.</w:t>
      </w:r>
    </w:p>
    <w:p>
      <w:pPr>
        <w:spacing w:after="60"/>
        <w:ind w:left="283" w:hanging="283"/>
        <w:jc w:val="both"/>
      </w:pPr>
      <w:r>
        <w:rPr>
          <w:rFonts w:ascii="Times New Roman" w:hAnsi="Times New Roman"/>
          <w:sz w:val="16"/>
        </w:rPr>
        <w:t>Cherif, A., Badhib, A., Omar, H., Alshehri, S., Kalkatawi, M., &amp; Imine, A. (2023). Credit card fraud detection in the era of disruptive technologies: A systematic review. arXiv:2303.06514.</w:t>
      </w:r>
    </w:p>
    <w:p>
      <w:pPr>
        <w:spacing w:after="60"/>
        <w:ind w:left="283" w:hanging="283"/>
        <w:jc w:val="both"/>
      </w:pPr>
      <w:r>
        <w:rPr>
          <w:rFonts w:ascii="Times New Roman" w:hAnsi="Times New Roman"/>
          <w:sz w:val="16"/>
        </w:rPr>
        <w:t>Circular Externa SFC 029/2014 y actualizaciones 2024. Superintendencia Financiera de Colombia.</w:t>
      </w:r>
    </w:p>
    <w:p>
      <w:pPr>
        <w:spacing w:after="60"/>
        <w:ind w:left="283" w:hanging="283"/>
        <w:jc w:val="both"/>
      </w:pPr>
      <w:r>
        <w:rPr>
          <w:rFonts w:ascii="Times New Roman" w:hAnsi="Times New Roman"/>
          <w:sz w:val="16"/>
        </w:rPr>
        <w:t>Código Civil Colombiano. Art. 2341 — Responsabilidad civil extracontractual. Ley 57 de 1887.</w:t>
      </w:r>
    </w:p>
    <w:p>
      <w:pPr>
        <w:spacing w:after="60"/>
        <w:ind w:left="283" w:hanging="283"/>
        <w:jc w:val="both"/>
      </w:pPr>
      <w:r>
        <w:rPr>
          <w:rFonts w:ascii="Times New Roman" w:hAnsi="Times New Roman"/>
          <w:sz w:val="16"/>
        </w:rPr>
        <w:t>Código Penal Colombiano. Arts. 246, 316, 323, 327. Ley 599 de 2000.</w:t>
      </w:r>
    </w:p>
    <w:p>
      <w:pPr>
        <w:spacing w:after="60"/>
        <w:ind w:left="283" w:hanging="283"/>
        <w:jc w:val="both"/>
      </w:pPr>
      <w:r>
        <w:rPr>
          <w:rFonts w:ascii="Times New Roman" w:hAnsi="Times New Roman"/>
          <w:sz w:val="16"/>
        </w:rPr>
        <w:t>Constitución Política de Colombia. (1991). Arts. 13 y 15. Bogotá: Imprenta Nacional.</w:t>
      </w:r>
    </w:p>
    <w:p>
      <w:pPr>
        <w:spacing w:after="60"/>
        <w:ind w:left="283" w:hanging="283"/>
        <w:jc w:val="both"/>
      </w:pPr>
      <w:r>
        <w:rPr>
          <w:rFonts w:ascii="Times New Roman" w:hAnsi="Times New Roman"/>
          <w:sz w:val="16"/>
        </w:rPr>
        <w:t>Corte Constitucional de Colombia. (2022). Sentencia T-255/22. M.P.: Diana Fajardo Rivera.</w:t>
      </w:r>
    </w:p>
    <w:p>
      <w:pPr>
        <w:spacing w:after="60"/>
        <w:ind w:left="283" w:hanging="283"/>
        <w:jc w:val="both"/>
      </w:pPr>
      <w:r>
        <w:rPr>
          <w:rFonts w:ascii="Times New Roman" w:hAnsi="Times New Roman"/>
          <w:sz w:val="16"/>
        </w:rPr>
        <w:t>Corte Suprema de Justicia de Colombia. (2020). Sentencia SC3146-2020. Sala de Casación Civil.</w:t>
      </w:r>
    </w:p>
    <w:p>
      <w:pPr>
        <w:spacing w:after="60"/>
        <w:ind w:left="283" w:hanging="283"/>
        <w:jc w:val="both"/>
      </w:pPr>
      <w:r>
        <w:rPr>
          <w:rFonts w:ascii="Times New Roman" w:hAnsi="Times New Roman"/>
          <w:sz w:val="16"/>
        </w:rPr>
        <w:t>Dal Pozzolo, A., Caelen, O., Le Borgne, Y.-A., Waterschoot, S., &amp; Bontempi, G. (2015). Learned lessons in credit card fraud detection from a practitioner perspective. Expert Systems with Applications, 41(10), 4915–4928.</w:t>
      </w:r>
    </w:p>
    <w:p>
      <w:pPr>
        <w:spacing w:after="60"/>
        <w:ind w:left="283" w:hanging="283"/>
        <w:jc w:val="both"/>
      </w:pPr>
      <w:r>
        <w:rPr>
          <w:rFonts w:ascii="Times New Roman" w:hAnsi="Times New Roman"/>
          <w:sz w:val="16"/>
        </w:rPr>
        <w:t>Davis, J., &amp; Goadrich, M. (2006). The relationship between precision-recall and ROC curves. Proceedings of the 23rd ICML (pp. 233–240). ACM.</w:t>
      </w:r>
    </w:p>
    <w:p>
      <w:pPr>
        <w:spacing w:after="60"/>
        <w:ind w:left="283" w:hanging="283"/>
        <w:jc w:val="both"/>
      </w:pPr>
      <w:r>
        <w:rPr>
          <w:rFonts w:ascii="Times New Roman" w:hAnsi="Times New Roman"/>
          <w:sz w:val="16"/>
        </w:rPr>
        <w:t>Decreto 1674 de 2021. SARLAFT 4.0. Ministerio de Hacienda y Crédito Público. Colombia.</w:t>
      </w:r>
    </w:p>
    <w:p>
      <w:pPr>
        <w:spacing w:after="60"/>
        <w:ind w:left="283" w:hanging="283"/>
        <w:jc w:val="both"/>
      </w:pPr>
      <w:r>
        <w:rPr>
          <w:rFonts w:ascii="Times New Roman" w:hAnsi="Times New Roman"/>
          <w:sz w:val="16"/>
        </w:rPr>
        <w:t>Díez-Pastor, J. F., Rodríguez, J. J., García-Osorio, C., &amp; Kuncheva, L. I. (2015). Diversity techniques improve the performance of the best imbalance learning ensembles. Information Sciences, 325, 98–117.</w:t>
      </w:r>
    </w:p>
    <w:p>
      <w:pPr>
        <w:spacing w:after="60"/>
        <w:ind w:left="283" w:hanging="283"/>
        <w:jc w:val="both"/>
      </w:pPr>
      <w:r>
        <w:rPr>
          <w:rFonts w:ascii="Times New Roman" w:hAnsi="Times New Roman"/>
          <w:sz w:val="16"/>
        </w:rPr>
        <w:t>Duda, R. O., Hart, P. E., &amp; Stork, D. G. (2001). Pattern Classification (2nd ed.). New York: Wiley-Interscience.</w:t>
      </w:r>
    </w:p>
    <w:p>
      <w:pPr>
        <w:spacing w:after="60"/>
        <w:ind w:left="283" w:hanging="283"/>
        <w:jc w:val="both"/>
      </w:pPr>
      <w:r>
        <w:rPr>
          <w:rFonts w:ascii="Times New Roman" w:hAnsi="Times New Roman"/>
          <w:sz w:val="16"/>
        </w:rPr>
        <w:t>Elkan, C. (2001). The foundations of cost-sensitive learning. IJCAI-01 (pp. 973–978).</w:t>
      </w:r>
    </w:p>
    <w:p>
      <w:pPr>
        <w:spacing w:after="60"/>
        <w:ind w:left="283" w:hanging="283"/>
        <w:jc w:val="both"/>
      </w:pPr>
      <w:r>
        <w:rPr>
          <w:rFonts w:ascii="Times New Roman" w:hAnsi="Times New Roman"/>
          <w:sz w:val="16"/>
        </w:rPr>
        <w:t>Eubanks, V. (2018). Automating inequality: How high-tech tools profile, police, and punish the poor. St. Martin's Press.</w:t>
      </w:r>
    </w:p>
    <w:p>
      <w:pPr>
        <w:spacing w:after="60"/>
        <w:ind w:left="283" w:hanging="283"/>
        <w:jc w:val="both"/>
      </w:pPr>
      <w:r>
        <w:rPr>
          <w:rFonts w:ascii="Times New Roman" w:hAnsi="Times New Roman"/>
          <w:sz w:val="16"/>
        </w:rPr>
        <w:t>Euromonitor International. (2024). Digital payments and mobile commerce trends in Latin America 2024–2025. https://www.portal.euromonitor.com/magazine/homemain</w:t>
      </w:r>
    </w:p>
    <w:p>
      <w:pPr>
        <w:spacing w:after="60"/>
        <w:ind w:left="283" w:hanging="283"/>
        <w:jc w:val="both"/>
      </w:pPr>
      <w:r>
        <w:rPr>
          <w:rFonts w:ascii="Times New Roman" w:hAnsi="Times New Roman"/>
          <w:sz w:val="16"/>
        </w:rPr>
        <w:t>Fernández, A., García, S., Galar, M., Prati, R. C., Krawczyk, B., &amp; Herrera, F. (2018). Learning from imbalanced data sets. Springer. https://doi.org/10.1007/978-3-319-98074-4</w:t>
      </w:r>
    </w:p>
    <w:p>
      <w:pPr>
        <w:spacing w:after="60"/>
        <w:ind w:left="283" w:hanging="283"/>
        <w:jc w:val="both"/>
      </w:pPr>
      <w:r>
        <w:rPr>
          <w:rFonts w:ascii="Times New Roman" w:hAnsi="Times New Roman"/>
          <w:sz w:val="16"/>
        </w:rPr>
        <w:t>Grupo Falabella. (2023). Memoria Anual 2023. Santiago de Chile: Grupo Falabella S.A. https://www.falabella.com/inversionistas</w:t>
      </w:r>
    </w:p>
    <w:p>
      <w:pPr>
        <w:spacing w:after="60"/>
        <w:ind w:left="283" w:hanging="283"/>
        <w:jc w:val="both"/>
      </w:pPr>
      <w:r>
        <w:rPr>
          <w:rFonts w:ascii="Times New Roman" w:hAnsi="Times New Roman"/>
          <w:sz w:val="16"/>
        </w:rPr>
        <w:t>Han, J., Kamber, M., &amp; Pei, J. (2011). Data Mining: Concepts and Techniques (3rd ed.). Morgan Kaufmann.</w:t>
      </w:r>
    </w:p>
    <w:p>
      <w:pPr>
        <w:spacing w:after="60"/>
        <w:ind w:left="283" w:hanging="283"/>
        <w:jc w:val="both"/>
      </w:pPr>
      <w:r>
        <w:rPr>
          <w:rFonts w:ascii="Times New Roman" w:hAnsi="Times New Roman"/>
          <w:sz w:val="16"/>
        </w:rPr>
        <w:t>He, H., &amp; Garcia, E. A. (2009). Learning from imbalanced data. IEEE Transactions on Knowledge and Data Engineering, 21(9), 1263–1284.</w:t>
      </w:r>
    </w:p>
    <w:p>
      <w:pPr>
        <w:spacing w:after="60"/>
        <w:ind w:left="283" w:hanging="283"/>
        <w:jc w:val="both"/>
      </w:pPr>
      <w:r>
        <w:rPr>
          <w:rFonts w:ascii="Times New Roman" w:hAnsi="Times New Roman"/>
          <w:sz w:val="16"/>
        </w:rPr>
        <w:t>Hipel, K. W., &amp; McLeod, A. I. (1994). Time series modelling of water resources and environmental systems. Elsevier.</w:t>
      </w:r>
    </w:p>
    <w:p>
      <w:pPr>
        <w:spacing w:after="60"/>
        <w:ind w:left="283" w:hanging="283"/>
        <w:jc w:val="both"/>
      </w:pPr>
      <w:r>
        <w:rPr>
          <w:rFonts w:ascii="Times New Roman" w:hAnsi="Times New Roman"/>
          <w:sz w:val="16"/>
        </w:rPr>
        <w:t>Hosmer, D. W., &amp; Lemeshow, S. (2000). Applied Logistic Regression (2nd ed.). Wiley.</w:t>
      </w:r>
    </w:p>
    <w:p>
      <w:pPr>
        <w:spacing w:after="60"/>
        <w:ind w:left="283" w:hanging="283"/>
        <w:jc w:val="both"/>
      </w:pPr>
      <w:r>
        <w:rPr>
          <w:rFonts w:ascii="Times New Roman" w:hAnsi="Times New Roman"/>
          <w:sz w:val="16"/>
        </w:rPr>
        <w:t>IJSDR2401084. (2024). Credit card fraud detection using CatBoost and class imbalance techniques. International Journal of Scientific Development and Research, 9(1).</w:t>
      </w:r>
    </w:p>
    <w:p>
      <w:pPr>
        <w:spacing w:after="60"/>
        <w:ind w:left="283" w:hanging="283"/>
        <w:jc w:val="both"/>
      </w:pPr>
      <w:r>
        <w:rPr>
          <w:rFonts w:ascii="Times New Roman" w:hAnsi="Times New Roman"/>
          <w:sz w:val="16"/>
        </w:rPr>
        <w:t>Islam, M. R., &amp; Chowdhury, M. (2022). CatBoost for financial fraud detection. ResearchGate ID: 349156860.</w:t>
      </w:r>
    </w:p>
    <w:p>
      <w:pPr>
        <w:spacing w:after="60"/>
        <w:ind w:left="283" w:hanging="283"/>
        <w:jc w:val="both"/>
      </w:pPr>
      <w:r>
        <w:rPr>
          <w:rFonts w:ascii="Times New Roman" w:hAnsi="Times New Roman"/>
          <w:sz w:val="16"/>
        </w:rPr>
        <w:t>Kaufman, S., Rosset, S., Perlich, C., &amp; Stitelman, O. (2012). Leakage in data mining: Formulation, detection, and avoidance. ACM TKDD, 6(4), 1–21.</w:t>
      </w:r>
    </w:p>
    <w:p>
      <w:pPr>
        <w:spacing w:after="60"/>
        <w:ind w:left="283" w:hanging="283"/>
        <w:jc w:val="both"/>
      </w:pPr>
      <w:r>
        <w:rPr>
          <w:rFonts w:ascii="Times New Roman" w:hAnsi="Times New Roman"/>
          <w:sz w:val="16"/>
        </w:rPr>
        <w:t>Ley 1266 de 2008. Hábeas Data Financiero. Colombia.</w:t>
      </w:r>
    </w:p>
    <w:p>
      <w:pPr>
        <w:spacing w:after="60"/>
        <w:ind w:left="283" w:hanging="283"/>
        <w:jc w:val="both"/>
      </w:pPr>
      <w:r>
        <w:rPr>
          <w:rFonts w:ascii="Times New Roman" w:hAnsi="Times New Roman"/>
          <w:sz w:val="16"/>
        </w:rPr>
        <w:t>Ley 1328 de 2009. Protección al consumidor financiero, Art. 3. Colombia.</w:t>
      </w:r>
    </w:p>
    <w:p>
      <w:pPr>
        <w:spacing w:after="60"/>
        <w:ind w:left="283" w:hanging="283"/>
        <w:jc w:val="both"/>
      </w:pPr>
      <w:r>
        <w:rPr>
          <w:rFonts w:ascii="Times New Roman" w:hAnsi="Times New Roman"/>
          <w:sz w:val="16"/>
        </w:rPr>
        <w:t>Lipton, Z. C. (2018). The mythos of model interpretability. Queue, 16(3), 31–57.</w:t>
      </w:r>
    </w:p>
    <w:p>
      <w:pPr>
        <w:spacing w:after="60"/>
        <w:ind w:left="283" w:hanging="283"/>
        <w:jc w:val="both"/>
      </w:pPr>
      <w:r>
        <w:rPr>
          <w:rFonts w:ascii="Times New Roman" w:hAnsi="Times New Roman"/>
          <w:sz w:val="16"/>
        </w:rPr>
        <w:t>Lundberg, S. M., &amp; Lee, S.-I. (2017). A unified approach to interpreting model predictions. NeurIPS, 30.</w:t>
      </w:r>
    </w:p>
    <w:p>
      <w:pPr>
        <w:spacing w:after="60"/>
        <w:ind w:left="283" w:hanging="283"/>
        <w:jc w:val="both"/>
      </w:pPr>
      <w:r>
        <w:rPr>
          <w:rFonts w:ascii="Times New Roman" w:hAnsi="Times New Roman"/>
          <w:sz w:val="16"/>
        </w:rPr>
        <w:t>Nilson Report. (2023). Global card fraud losses 2022: USD 33.5 billion. Issue 1229.</w:t>
      </w:r>
    </w:p>
    <w:p>
      <w:pPr>
        <w:spacing w:after="60"/>
        <w:ind w:left="283" w:hanging="283"/>
        <w:jc w:val="both"/>
      </w:pPr>
      <w:r>
        <w:rPr>
          <w:rFonts w:ascii="Times New Roman" w:hAnsi="Times New Roman"/>
          <w:sz w:val="16"/>
        </w:rPr>
        <w:t>Obermeyer, Z., Powers, B., Vogeli, C., &amp; Mullainathan, S. (2019). Dissecting racial bias in an algorithm used to manage the health of populations. Science, 366(6464), 447–453.</w:t>
      </w:r>
    </w:p>
    <w:p>
      <w:pPr>
        <w:spacing w:after="60"/>
        <w:ind w:left="283" w:hanging="283"/>
        <w:jc w:val="both"/>
      </w:pPr>
      <w:r>
        <w:rPr>
          <w:rFonts w:ascii="Times New Roman" w:hAnsi="Times New Roman"/>
          <w:sz w:val="16"/>
        </w:rPr>
        <w:t>Oshiro, T. M., Perez, P. S., &amp; Baranauskas, J. A. (2012). How many trees in a random forest? MLDM 2012 (pp. 154–168). Springer.</w:t>
      </w:r>
    </w:p>
    <w:p>
      <w:pPr>
        <w:spacing w:after="60"/>
        <w:ind w:left="283" w:hanging="283"/>
        <w:jc w:val="both"/>
      </w:pPr>
      <w:r>
        <w:rPr>
          <w:rFonts w:ascii="Times New Roman" w:hAnsi="Times New Roman"/>
          <w:sz w:val="16"/>
        </w:rPr>
        <w:t>PaySim. (2017). Synthetic Financial Datasets For Fraud Detection. Kaggle. https://www.kaggle.com/datasets/ealaxi/paysim1</w:t>
      </w:r>
    </w:p>
    <w:p>
      <w:pPr>
        <w:spacing w:after="60"/>
        <w:ind w:left="283" w:hanging="283"/>
        <w:jc w:val="both"/>
      </w:pPr>
      <w:r>
        <w:rPr>
          <w:rFonts w:ascii="Times New Roman" w:hAnsi="Times New Roman"/>
          <w:sz w:val="16"/>
        </w:rPr>
        <w:t>Prokhorenkova, L., Gusev, G., Vorobev, A., Dorogush, A. V., &amp; Gulin, A. (2018). CatBoost: unbiased boosting with categorical features. NeurIPS, 31.</w:t>
      </w:r>
    </w:p>
    <w:p>
      <w:pPr>
        <w:spacing w:after="60"/>
        <w:ind w:left="283" w:hanging="283"/>
        <w:jc w:val="both"/>
      </w:pPr>
      <w:r>
        <w:rPr>
          <w:rFonts w:ascii="Times New Roman" w:hAnsi="Times New Roman"/>
          <w:sz w:val="16"/>
        </w:rPr>
        <w:t>Ribeiro, M. T., Singh, S., &amp; Guestrin, C. (2016). "Why should I trust you?": Explaining the predictions of any classifier. KDD 2016 (pp. 1135–1144). ACM.</w:t>
      </w:r>
    </w:p>
    <w:p>
      <w:pPr>
        <w:spacing w:after="60"/>
        <w:ind w:left="283" w:hanging="283"/>
        <w:jc w:val="both"/>
      </w:pPr>
      <w:r>
        <w:rPr>
          <w:rFonts w:ascii="Times New Roman" w:hAnsi="Times New Roman"/>
          <w:sz w:val="16"/>
        </w:rPr>
        <w:t>Shapley, L. S. (1953). A value for n-person games. Contributions to the Theory of Games, 2, 307–317. Princeton University Press.</w:t>
      </w:r>
    </w:p>
    <w:p>
      <w:pPr>
        <w:spacing w:after="60"/>
        <w:ind w:left="283" w:hanging="283"/>
        <w:jc w:val="both"/>
      </w:pPr>
      <w:r>
        <w:rPr>
          <w:rFonts w:ascii="Times New Roman" w:hAnsi="Times New Roman"/>
          <w:sz w:val="16"/>
        </w:rPr>
        <w:t>Superintendencia Financiera de Colombia (SFC). Registro de entidades vigiladas. https://www.superfinanciera.gov.co/entidades-vigiladas</w:t>
      </w:r>
    </w:p>
    <w:p>
      <w:pPr>
        <w:spacing w:after="60"/>
        <w:ind w:left="283" w:hanging="283"/>
        <w:jc w:val="both"/>
      </w:pPr>
      <w:r>
        <w:rPr>
          <w:rFonts w:ascii="Times New Roman" w:hAnsi="Times New Roman"/>
          <w:sz w:val="16"/>
        </w:rPr>
        <w:t>Tukey, J. W. (1977). Exploratory Data Analysis. Addison-Wesley.</w:t>
      </w:r>
    </w:p>
    <w:p>
      <w:pPr>
        <w:spacing w:after="60"/>
        <w:ind w:left="283" w:hanging="283"/>
        <w:jc w:val="both"/>
      </w:pPr>
      <w:r>
        <w:rPr>
          <w:rFonts w:ascii="Times New Roman" w:hAnsi="Times New Roman"/>
          <w:sz w:val="16"/>
        </w:rPr>
        <w:t>Zhang, W., Xu, Z., He, W., &amp; Li, Y. (2022). Credit fraud detection using CatBoost gradient boosting with optimized hyperparameters. ResearchGate ID: 349156860.</w:t>
      </w:r>
    </w:p>
    <w:sectPr w:rsidR="00FC693F" w:rsidRPr="0006063C" w:rsidSect="00034616">
      <w:type w:val="continuous"/>
      <w:pgSz w:w="12240" w:h="15840"/>
      <w:pgMar w:top="1417" w:right="1077" w:bottom="1417" w:left="1077"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