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D32B9" w14:textId="77777777" w:rsidR="00FE21DF" w:rsidRPr="00500856" w:rsidRDefault="00000000">
      <w:pPr>
        <w:spacing w:after="120"/>
        <w:jc w:val="center"/>
        <w:rPr>
          <w:lang w:val="es-CO"/>
        </w:rPr>
      </w:pPr>
      <w:r w:rsidRPr="00500856">
        <w:rPr>
          <w:rFonts w:ascii="Times New Roman" w:hAnsi="Times New Roman"/>
          <w:b/>
          <w:sz w:val="28"/>
          <w:lang w:val="es-CO"/>
        </w:rPr>
        <w:t>Detección de Fraude en Transacciones Financieras mediante</w:t>
      </w:r>
      <w:r w:rsidRPr="00500856">
        <w:rPr>
          <w:rFonts w:ascii="Times New Roman" w:hAnsi="Times New Roman"/>
          <w:b/>
          <w:sz w:val="28"/>
          <w:lang w:val="es-CO"/>
        </w:rPr>
        <w:br/>
        <w:t>Aprendizaje Automático: Un Enfoque CRISP-DM</w:t>
      </w:r>
      <w:r w:rsidRPr="00500856">
        <w:rPr>
          <w:rFonts w:ascii="Times New Roman" w:hAnsi="Times New Roman"/>
          <w:b/>
          <w:sz w:val="28"/>
          <w:lang w:val="es-CO"/>
        </w:rPr>
        <w:br/>
        <w:t>aplicado a Banco Falabella Colombia</w:t>
      </w:r>
    </w:p>
    <w:p w14:paraId="4014901E" w14:textId="034DFC9C" w:rsidR="002537F4" w:rsidRDefault="00000000">
      <w:pPr>
        <w:jc w:val="center"/>
        <w:rPr>
          <w:rFonts w:ascii="Times New Roman" w:hAnsi="Times New Roman"/>
          <w:i/>
          <w:sz w:val="20"/>
          <w:lang w:val="es-CO"/>
        </w:rPr>
      </w:pPr>
      <w:r w:rsidRPr="00500856">
        <w:rPr>
          <w:rFonts w:ascii="Times New Roman" w:hAnsi="Times New Roman"/>
          <w:i/>
          <w:sz w:val="20"/>
          <w:lang w:val="es-CO"/>
        </w:rPr>
        <w:t xml:space="preserve">Pontificia Universidad </w:t>
      </w:r>
      <w:r w:rsidR="002537F4" w:rsidRPr="00500856">
        <w:rPr>
          <w:rFonts w:ascii="Times New Roman" w:hAnsi="Times New Roman"/>
          <w:i/>
          <w:sz w:val="20"/>
          <w:lang w:val="es-CO"/>
        </w:rPr>
        <w:t>Javeriana Especialización</w:t>
      </w:r>
      <w:r w:rsidRPr="00500856">
        <w:rPr>
          <w:rFonts w:ascii="Times New Roman" w:hAnsi="Times New Roman"/>
          <w:i/>
          <w:sz w:val="20"/>
          <w:lang w:val="es-CO"/>
        </w:rPr>
        <w:t xml:space="preserve"> en Inteligencia Artificial </w:t>
      </w:r>
      <w:r w:rsidRPr="00500856">
        <w:rPr>
          <w:rFonts w:ascii="Times New Roman" w:hAnsi="Times New Roman"/>
          <w:i/>
          <w:sz w:val="20"/>
          <w:lang w:val="es-CO"/>
        </w:rPr>
        <w:br/>
        <w:t xml:space="preserve">Bogotá, </w:t>
      </w:r>
      <w:r w:rsidR="00F55BBA" w:rsidRPr="00500856">
        <w:rPr>
          <w:rFonts w:ascii="Times New Roman" w:hAnsi="Times New Roman"/>
          <w:i/>
          <w:sz w:val="20"/>
          <w:lang w:val="es-CO"/>
        </w:rPr>
        <w:t xml:space="preserve">Colombia </w:t>
      </w:r>
    </w:p>
    <w:p w14:paraId="405FBD45" w14:textId="2F3EB2EA" w:rsidR="00FE21DF" w:rsidRPr="00500856" w:rsidRDefault="00F55BBA">
      <w:pPr>
        <w:jc w:val="center"/>
        <w:rPr>
          <w:lang w:val="es-CO"/>
        </w:rPr>
      </w:pPr>
      <w:r w:rsidRPr="00500856">
        <w:rPr>
          <w:rFonts w:ascii="Times New Roman" w:hAnsi="Times New Roman"/>
          <w:i/>
          <w:sz w:val="20"/>
          <w:lang w:val="es-CO"/>
        </w:rPr>
        <w:t>Abril</w:t>
      </w:r>
      <w:r w:rsidR="00000000" w:rsidRPr="00500856">
        <w:rPr>
          <w:rFonts w:ascii="Times New Roman" w:hAnsi="Times New Roman"/>
          <w:i/>
          <w:sz w:val="20"/>
          <w:lang w:val="es-CO"/>
        </w:rPr>
        <w:t xml:space="preserve"> 2026</w:t>
      </w:r>
      <w:r w:rsidR="00000000" w:rsidRPr="00500856">
        <w:rPr>
          <w:rFonts w:ascii="Times New Roman" w:hAnsi="Times New Roman"/>
          <w:i/>
          <w:sz w:val="20"/>
          <w:lang w:val="es-CO"/>
        </w:rPr>
        <w:br/>
      </w:r>
      <w:r w:rsidR="00000000" w:rsidRPr="00500856">
        <w:rPr>
          <w:rFonts w:ascii="Times New Roman" w:hAnsi="Times New Roman"/>
          <w:i/>
          <w:sz w:val="20"/>
          <w:lang w:val="es-CO"/>
        </w:rPr>
        <w:br/>
      </w:r>
      <w:r w:rsidR="00000000" w:rsidRPr="00500856">
        <w:rPr>
          <w:rFonts w:ascii="Times New Roman" w:hAnsi="Times New Roman"/>
          <w:b/>
          <w:sz w:val="20"/>
          <w:lang w:val="es-CO"/>
        </w:rPr>
        <w:t xml:space="preserve">Grupo </w:t>
      </w:r>
      <w:r w:rsidR="002537F4" w:rsidRPr="00500856">
        <w:rPr>
          <w:rFonts w:ascii="Times New Roman" w:hAnsi="Times New Roman"/>
          <w:b/>
          <w:sz w:val="20"/>
          <w:lang w:val="es-CO"/>
        </w:rPr>
        <w:t>1 Integrantes</w:t>
      </w:r>
      <w:r w:rsidR="00000000" w:rsidRPr="00500856">
        <w:rPr>
          <w:rFonts w:ascii="Times New Roman" w:hAnsi="Times New Roman"/>
          <w:b/>
          <w:sz w:val="20"/>
          <w:lang w:val="es-CO"/>
        </w:rPr>
        <w:t>:</w:t>
      </w:r>
      <w:r w:rsidR="00000000" w:rsidRPr="00500856">
        <w:rPr>
          <w:rFonts w:ascii="Times New Roman" w:hAnsi="Times New Roman"/>
          <w:b/>
          <w:sz w:val="20"/>
          <w:lang w:val="es-CO"/>
        </w:rPr>
        <w:br/>
      </w:r>
      <w:r w:rsidR="00000000" w:rsidRPr="00500856">
        <w:rPr>
          <w:rFonts w:ascii="Times New Roman" w:hAnsi="Times New Roman"/>
          <w:sz w:val="20"/>
          <w:lang w:val="es-CO"/>
        </w:rPr>
        <w:t xml:space="preserve">Yulieth Carolina Pinto </w:t>
      </w:r>
      <w:r w:rsidR="002537F4" w:rsidRPr="00500856">
        <w:rPr>
          <w:rFonts w:ascii="Times New Roman" w:hAnsi="Times New Roman"/>
          <w:sz w:val="20"/>
          <w:lang w:val="es-CO"/>
        </w:rPr>
        <w:t xml:space="preserve">Pérez </w:t>
      </w:r>
      <w:r w:rsidR="00AD4439" w:rsidRPr="00500856">
        <w:rPr>
          <w:rFonts w:ascii="Times New Roman" w:hAnsi="Times New Roman"/>
          <w:sz w:val="20"/>
          <w:lang w:val="es-CO"/>
        </w:rPr>
        <w:t>• Greyce</w:t>
      </w:r>
      <w:r w:rsidR="00000000" w:rsidRPr="00500856">
        <w:rPr>
          <w:rFonts w:ascii="Times New Roman" w:hAnsi="Times New Roman"/>
          <w:sz w:val="20"/>
          <w:lang w:val="es-CO"/>
        </w:rPr>
        <w:t xml:space="preserve"> Yeraldyn Hernández Reina</w:t>
      </w:r>
      <w:r w:rsidR="00000000" w:rsidRPr="00500856">
        <w:rPr>
          <w:rFonts w:ascii="Times New Roman" w:hAnsi="Times New Roman"/>
          <w:sz w:val="20"/>
          <w:lang w:val="es-CO"/>
        </w:rPr>
        <w:br/>
        <w:t>Mateo Polanco Rodríguez •  Cristian Camilo Montenegro Orjuela</w:t>
      </w:r>
      <w:r w:rsidR="00000000" w:rsidRPr="00500856">
        <w:rPr>
          <w:rFonts w:ascii="Times New Roman" w:hAnsi="Times New Roman"/>
          <w:sz w:val="20"/>
          <w:lang w:val="es-CO"/>
        </w:rPr>
        <w:br/>
        <w:t>Sebastián Morales Quesada</w:t>
      </w:r>
    </w:p>
    <w:p w14:paraId="33ECE6A5" w14:textId="77777777" w:rsidR="00FE21DF" w:rsidRPr="002537F4" w:rsidRDefault="00000000">
      <w:pPr>
        <w:jc w:val="center"/>
        <w:rPr>
          <w:rFonts w:ascii="Times New Roman" w:eastAsiaTheme="majorEastAsia" w:hAnsi="Times New Roman" w:cstheme="majorBidi"/>
          <w:b/>
          <w:bCs/>
          <w:color w:val="365F91" w:themeColor="accent1" w:themeShade="BF"/>
          <w:sz w:val="24"/>
          <w:szCs w:val="28"/>
          <w:lang w:val="es-CO"/>
        </w:rPr>
      </w:pPr>
      <w:r w:rsidRPr="002537F4">
        <w:rPr>
          <w:rFonts w:ascii="Times New Roman" w:eastAsiaTheme="majorEastAsia" w:hAnsi="Times New Roman" w:cstheme="majorBidi"/>
          <w:b/>
          <w:bCs/>
          <w:color w:val="365F91" w:themeColor="accent1" w:themeShade="BF"/>
          <w:sz w:val="24"/>
          <w:szCs w:val="28"/>
          <w:lang w:val="es-CO"/>
        </w:rPr>
        <w:t>RESUMEN</w:t>
      </w:r>
    </w:p>
    <w:p w14:paraId="225914F8" w14:textId="7689330F" w:rsidR="00FE21DF" w:rsidRPr="00500856" w:rsidRDefault="00000000">
      <w:pPr>
        <w:spacing w:after="80"/>
        <w:ind w:left="680" w:right="680"/>
        <w:jc w:val="both"/>
        <w:rPr>
          <w:lang w:val="es-CO"/>
        </w:rPr>
      </w:pPr>
      <w:r w:rsidRPr="00500856">
        <w:rPr>
          <w:rFonts w:ascii="Times New Roman" w:hAnsi="Times New Roman"/>
          <w:sz w:val="19"/>
          <w:lang w:val="es-CO"/>
        </w:rPr>
        <w:t xml:space="preserve">El fraude en transacciones financieras genera pérdidas globales superiores a USD 33.500 millones anuales [1]. Esta amenaza es especialmente relevante para entidades como Banco Falabella Colombia, vigilada por la Superintendencia Financiera de Colombia (SFC) y sujeta al SARLAFT [2]. El presente trabajo aplica la metodología CRISP-DM [3] al dataset sintético </w:t>
      </w:r>
      <w:r w:rsidR="00500856" w:rsidRPr="00500856">
        <w:rPr>
          <w:rFonts w:ascii="Times New Roman" w:hAnsi="Times New Roman"/>
          <w:sz w:val="19"/>
          <w:lang w:val="es-CO"/>
        </w:rPr>
        <w:t>Passim</w:t>
      </w:r>
      <w:r w:rsidRPr="00500856">
        <w:rPr>
          <w:rFonts w:ascii="Times New Roman" w:hAnsi="Times New Roman"/>
          <w:sz w:val="19"/>
          <w:lang w:val="es-CO"/>
        </w:rPr>
        <w:t xml:space="preserve"> (6.362.620 transacciones), utilizando muestreo estratificado asimétrico de 500.000 registros para preservar la totalidad de los casos de fraude del dataset original. Se evaluaron tres técnicas de balanceo de </w:t>
      </w:r>
      <w:r w:rsidR="00500856" w:rsidRPr="00500856">
        <w:rPr>
          <w:rFonts w:ascii="Times New Roman" w:hAnsi="Times New Roman"/>
          <w:sz w:val="19"/>
          <w:lang w:val="es-CO"/>
        </w:rPr>
        <w:t>clases Undersampling</w:t>
      </w:r>
      <w:r w:rsidRPr="00500856">
        <w:rPr>
          <w:rFonts w:ascii="Times New Roman" w:hAnsi="Times New Roman"/>
          <w:sz w:val="19"/>
          <w:lang w:val="es-CO"/>
        </w:rPr>
        <w:t xml:space="preserve">, Oversampling y SMOTE y tres clasificadores: Regresión Logística, Random Forest [5] y </w:t>
      </w:r>
      <w:r w:rsidR="00500856" w:rsidRPr="00500856">
        <w:rPr>
          <w:rFonts w:ascii="Times New Roman" w:hAnsi="Times New Roman"/>
          <w:sz w:val="19"/>
          <w:lang w:val="es-CO"/>
        </w:rPr>
        <w:t>CatBoost,</w:t>
      </w:r>
      <w:r w:rsidRPr="00500856">
        <w:rPr>
          <w:rFonts w:ascii="Times New Roman" w:hAnsi="Times New Roman"/>
          <w:sz w:val="19"/>
          <w:lang w:val="es-CO"/>
        </w:rPr>
        <w:t xml:space="preserve"> con umbrales 0,2 / 0,5 / 0,78. La métrica principal fue la Ganancia Neta (GN = TP×$100 − FP×$33), basada en aprendizaje sensible al costo [7]. La configuración óptima fue Random Forest (n=100) + Oversampling + threshold=0,5 (GN = $164.000, AUC-ROC = 1,0000, TP=1.640, FP=0). Se discuten las implicaciones legales y éticas [12], incluyendo la necesidad de explicabilidad algorítmica mediante SHAP [13] y LIME [14].</w:t>
      </w:r>
    </w:p>
    <w:p w14:paraId="4E863D71" w14:textId="77777777" w:rsidR="00FE21DF" w:rsidRPr="00500856" w:rsidRDefault="00000000">
      <w:pPr>
        <w:ind w:left="680" w:right="680"/>
        <w:jc w:val="both"/>
        <w:rPr>
          <w:lang w:val="es-CO"/>
        </w:rPr>
      </w:pPr>
      <w:r w:rsidRPr="00500856">
        <w:rPr>
          <w:rFonts w:ascii="Times New Roman" w:hAnsi="Times New Roman"/>
          <w:b/>
          <w:sz w:val="19"/>
          <w:lang w:val="es-CO"/>
        </w:rPr>
        <w:t xml:space="preserve">Palabras clave: </w:t>
      </w:r>
      <w:r w:rsidRPr="00500856">
        <w:rPr>
          <w:rFonts w:ascii="Times New Roman" w:hAnsi="Times New Roman"/>
          <w:sz w:val="19"/>
          <w:lang w:val="es-CO"/>
        </w:rPr>
        <w:t>fraude financiero, CRISP-DM, aprendizaje sensible al costo, Random Forest, CatBoost, balanceo de clases, Ganancia Neta, PaySim, Banco Falabella, explicabilidad algorítmica.</w:t>
      </w:r>
    </w:p>
    <w:p w14:paraId="0EEFFF9B" w14:textId="77777777" w:rsidR="00FE21DF" w:rsidRPr="00500856" w:rsidRDefault="00000000">
      <w:pPr>
        <w:spacing w:after="120"/>
        <w:jc w:val="center"/>
        <w:rPr>
          <w:lang w:val="es-CO"/>
        </w:rPr>
      </w:pPr>
      <w:r w:rsidRPr="00500856">
        <w:rPr>
          <w:sz w:val="16"/>
          <w:lang w:val="es-CO"/>
        </w:rPr>
        <w:t>───────────────────────────────────────────────────────────────────────────────────────────────</w:t>
      </w:r>
    </w:p>
    <w:p w14:paraId="282D91D6" w14:textId="77777777" w:rsidR="00FE21DF" w:rsidRPr="00500856" w:rsidRDefault="00FE21DF">
      <w:pPr>
        <w:rPr>
          <w:lang w:val="es-CO"/>
        </w:rPr>
        <w:sectPr w:rsidR="00FE21DF" w:rsidRPr="00500856">
          <w:pgSz w:w="12240" w:h="15840"/>
          <w:pgMar w:top="1417" w:right="1077" w:bottom="1417" w:left="1077" w:header="720" w:footer="720" w:gutter="0"/>
          <w:cols w:space="720"/>
          <w:docGrid w:linePitch="360"/>
        </w:sectPr>
      </w:pPr>
    </w:p>
    <w:p w14:paraId="77407EE1" w14:textId="77777777" w:rsidR="00FE21DF" w:rsidRPr="00500856" w:rsidRDefault="00000000">
      <w:pPr>
        <w:pStyle w:val="Ttulo1"/>
        <w:rPr>
          <w:lang w:val="es-CO"/>
        </w:rPr>
      </w:pPr>
      <w:r w:rsidRPr="00500856">
        <w:rPr>
          <w:rFonts w:ascii="Times New Roman" w:hAnsi="Times New Roman"/>
          <w:sz w:val="24"/>
          <w:lang w:val="es-CO"/>
        </w:rPr>
        <w:t>1. ENTENDIMIENTO DEL NEGOCIO</w:t>
      </w:r>
    </w:p>
    <w:p w14:paraId="00506A2A" w14:textId="77777777" w:rsidR="00FE21DF" w:rsidRPr="00500856" w:rsidRDefault="00000000">
      <w:pPr>
        <w:pStyle w:val="Ttulo2"/>
        <w:rPr>
          <w:lang w:val="es-CO"/>
        </w:rPr>
      </w:pPr>
      <w:r w:rsidRPr="00500856">
        <w:rPr>
          <w:rFonts w:ascii="Times New Roman" w:hAnsi="Times New Roman"/>
          <w:sz w:val="22"/>
          <w:lang w:val="es-CO"/>
        </w:rPr>
        <w:t>1.1. Objetivos del Proyecto</w:t>
      </w:r>
    </w:p>
    <w:p w14:paraId="1CFF3FB1" w14:textId="77777777" w:rsidR="00500856" w:rsidRDefault="00000000">
      <w:pPr>
        <w:spacing w:before="60" w:after="60"/>
        <w:jc w:val="both"/>
        <w:rPr>
          <w:rFonts w:ascii="Times New Roman" w:hAnsi="Times New Roman"/>
          <w:sz w:val="20"/>
          <w:lang w:val="es-CO"/>
        </w:rPr>
      </w:pPr>
      <w:r w:rsidRPr="00500856">
        <w:rPr>
          <w:rFonts w:ascii="Times New Roman" w:hAnsi="Times New Roman"/>
          <w:sz w:val="20"/>
          <w:lang w:val="es-CO"/>
        </w:rPr>
        <w:t xml:space="preserve">El objetivo principal es desarrollar un modelo de aprendizaje automático para detectar transacciones fraudulentas en servicios financieros digitales, optimizando la Ganancia Neta como KPI de negocio bajo el marco CRISP-DM [3]. Los objetivos específicos son: (i) analizar el dataset PaySim para identificar patrones de fraude; </w:t>
      </w:r>
    </w:p>
    <w:p w14:paraId="0527494D" w14:textId="77777777" w:rsidR="00500856" w:rsidRDefault="00000000">
      <w:pPr>
        <w:spacing w:before="60" w:after="60"/>
        <w:jc w:val="both"/>
        <w:rPr>
          <w:rFonts w:ascii="Times New Roman" w:hAnsi="Times New Roman"/>
          <w:sz w:val="20"/>
          <w:lang w:val="es-CO"/>
        </w:rPr>
      </w:pPr>
      <w:r w:rsidRPr="00500856">
        <w:rPr>
          <w:rFonts w:ascii="Times New Roman" w:hAnsi="Times New Roman"/>
          <w:sz w:val="20"/>
          <w:lang w:val="es-CO"/>
        </w:rPr>
        <w:t xml:space="preserve">(ii) aplicar y comparar técnicas de balanceo de clases [4][15]; </w:t>
      </w:r>
    </w:p>
    <w:p w14:paraId="0EF6F01E" w14:textId="3266697E" w:rsidR="00500856" w:rsidRDefault="00000000">
      <w:pPr>
        <w:spacing w:before="60" w:after="60"/>
        <w:jc w:val="both"/>
        <w:rPr>
          <w:rFonts w:ascii="Times New Roman" w:hAnsi="Times New Roman"/>
          <w:sz w:val="20"/>
          <w:lang w:val="es-CO"/>
        </w:rPr>
      </w:pPr>
      <w:r w:rsidRPr="00500856">
        <w:rPr>
          <w:rFonts w:ascii="Times New Roman" w:hAnsi="Times New Roman"/>
          <w:sz w:val="20"/>
          <w:lang w:val="es-CO"/>
        </w:rPr>
        <w:t xml:space="preserve">(iii) entrenar y comparar Regresión Logística, Random Forest [5] y CatBoost [6] con múltiples umbrales; </w:t>
      </w:r>
    </w:p>
    <w:p w14:paraId="28057A71" w14:textId="4F33BD6D" w:rsidR="00FE21DF" w:rsidRPr="00500856" w:rsidRDefault="00000000">
      <w:pPr>
        <w:spacing w:before="60" w:after="60"/>
        <w:jc w:val="both"/>
        <w:rPr>
          <w:lang w:val="es-CO"/>
        </w:rPr>
      </w:pPr>
      <w:r w:rsidRPr="00500856">
        <w:rPr>
          <w:rFonts w:ascii="Times New Roman" w:hAnsi="Times New Roman"/>
          <w:sz w:val="20"/>
          <w:lang w:val="es-CO"/>
        </w:rPr>
        <w:t>(iv) integrar el análisis de costo-beneficio con el marco legal colombiano y el framework ético FAccT [12].</w:t>
      </w:r>
    </w:p>
    <w:p w14:paraId="753708D5" w14:textId="77777777" w:rsidR="00FE21DF" w:rsidRPr="00500856" w:rsidRDefault="00000000">
      <w:pPr>
        <w:pStyle w:val="Ttulo2"/>
        <w:rPr>
          <w:lang w:val="es-CO"/>
        </w:rPr>
      </w:pPr>
      <w:r w:rsidRPr="00500856">
        <w:rPr>
          <w:rFonts w:ascii="Times New Roman" w:hAnsi="Times New Roman"/>
          <w:sz w:val="22"/>
          <w:lang w:val="es-CO"/>
        </w:rPr>
        <w:t>1.2. Contexto del Caso</w:t>
      </w:r>
    </w:p>
    <w:p w14:paraId="5B5ABC0D" w14:textId="77777777" w:rsidR="00FE21DF" w:rsidRPr="00500856" w:rsidRDefault="00000000">
      <w:pPr>
        <w:spacing w:before="60" w:after="60"/>
        <w:jc w:val="both"/>
        <w:rPr>
          <w:lang w:val="es-CO"/>
        </w:rPr>
      </w:pPr>
      <w:r w:rsidRPr="00500856">
        <w:rPr>
          <w:rFonts w:ascii="Times New Roman" w:hAnsi="Times New Roman"/>
          <w:sz w:val="20"/>
          <w:lang w:val="es-CO"/>
        </w:rPr>
        <w:t>El fraude en servicios financieros digitales representa pérdidas globales superiores a USD 33.500 millones anuales [1], impulsadas por la expansión del m-commerce (crecimiento &gt;250% en 5 años en América Latina [16]) y tipologías emergentes como Account Takeover, Card-Not-Present (CNP) fraud e ingeniería social. El dataset PaySim [17] simula 30 días de transacciones de banca móvil (6.362.620 registros) con desbalance extremo: 99,87% legítimas y 0,13% fraudulentas, configurando la "Paradoja de la Precisión" [18] donde un clasificador trivial obtiene 99,87% de accuracy siendo completamente inútil.</w:t>
      </w:r>
    </w:p>
    <w:p w14:paraId="42ED357C" w14:textId="77777777" w:rsidR="00FE21DF" w:rsidRPr="00500856" w:rsidRDefault="00000000">
      <w:pPr>
        <w:spacing w:before="60" w:after="60"/>
        <w:jc w:val="both"/>
        <w:rPr>
          <w:lang w:val="es-CO"/>
        </w:rPr>
      </w:pPr>
      <w:r w:rsidRPr="00500856">
        <w:rPr>
          <w:rFonts w:ascii="Times New Roman" w:hAnsi="Times New Roman"/>
          <w:sz w:val="20"/>
          <w:lang w:val="es-CO"/>
        </w:rPr>
        <w:t xml:space="preserve">Según [19], en el mercado colombiano de servicios financieros digitales se registran tendencias críticas que aumentan la exposición al fraude: (i) el volumen de transacciones de banca digital creció un 38% entre 2022 y </w:t>
      </w:r>
      <w:r w:rsidRPr="00500856">
        <w:rPr>
          <w:rFonts w:ascii="Times New Roman" w:hAnsi="Times New Roman"/>
          <w:sz w:val="20"/>
          <w:lang w:val="es-CO"/>
        </w:rPr>
        <w:lastRenderedPageBreak/>
        <w:t xml:space="preserve">2024, superando los COP 1.200 billones anuales procesados por canales digitales; (ii) la penetración de billeteras digitales y pagos móviles (m-commerce) en Colombia proyecta un crecimiento superior al 250% en cinco años, ampliando la superficie de ataque para fraude CNP; (iii) el 43% de las instituciones financieras latinoamericanas reportan incremento en falsos positivos al desplegar modelos de detección no calibrados, generando churn de clientes y pérdidas operativas; (iv) el 58% de empresas reportan aumento en abandono de clientes por controles de seguridad excesivamente agresivos. Estos datos justifican la necesidad de optimizar la Ganancia Neta [7] en lugar de métricas de accuracy tradicionales, y respaldan </w:t>
      </w:r>
      <w:r w:rsidRPr="00AD4439">
        <w:rPr>
          <w:rFonts w:ascii="Times New Roman" w:hAnsi="Times New Roman"/>
          <w:b/>
          <w:bCs/>
          <w:sz w:val="20"/>
          <w:lang w:val="es-CO"/>
        </w:rPr>
        <w:t>la selección de Banco Falabella como caso de estudio por su alta exposición al segmento de pagos digitales y retail financiero en Colombia</w:t>
      </w:r>
      <w:r w:rsidRPr="00500856">
        <w:rPr>
          <w:rFonts w:ascii="Times New Roman" w:hAnsi="Times New Roman"/>
          <w:sz w:val="20"/>
          <w:lang w:val="es-CO"/>
        </w:rPr>
        <w:t xml:space="preserve"> [19][1].</w:t>
      </w:r>
    </w:p>
    <w:p w14:paraId="2129AC11" w14:textId="77777777" w:rsidR="00FE21DF" w:rsidRPr="00500856" w:rsidRDefault="00000000">
      <w:pPr>
        <w:pStyle w:val="Ttulo2"/>
        <w:rPr>
          <w:lang w:val="es-CO"/>
        </w:rPr>
      </w:pPr>
      <w:r w:rsidRPr="00500856">
        <w:rPr>
          <w:rFonts w:ascii="Times New Roman" w:hAnsi="Times New Roman"/>
          <w:sz w:val="22"/>
          <w:lang w:val="es-CO"/>
        </w:rPr>
        <w:t>1.3. Entidad Financiera: Banco Falabella</w:t>
      </w:r>
    </w:p>
    <w:p w14:paraId="56BACFBB" w14:textId="644508BF" w:rsidR="00FE21DF" w:rsidRPr="00500856" w:rsidRDefault="00000000">
      <w:pPr>
        <w:spacing w:before="60" w:after="60"/>
        <w:jc w:val="both"/>
        <w:rPr>
          <w:lang w:val="es-CO"/>
        </w:rPr>
      </w:pPr>
      <w:r w:rsidRPr="00500856">
        <w:rPr>
          <w:rFonts w:ascii="Times New Roman" w:hAnsi="Times New Roman"/>
          <w:sz w:val="20"/>
          <w:lang w:val="es-CO"/>
        </w:rPr>
        <w:t>Banco Falabella S.A. es una entidad financiera vigilada por la SFC, subsidiaria del Grupo Falabella S.A. [20], con más de 1,5 millones de tarjeta</w:t>
      </w:r>
      <w:r w:rsidR="005636A6">
        <w:rPr>
          <w:rFonts w:ascii="Times New Roman" w:hAnsi="Times New Roman"/>
          <w:sz w:val="20"/>
          <w:lang w:val="es-CO"/>
        </w:rPr>
        <w:t>s</w:t>
      </w:r>
      <w:r w:rsidRPr="00500856">
        <w:rPr>
          <w:rFonts w:ascii="Times New Roman" w:hAnsi="Times New Roman"/>
          <w:sz w:val="20"/>
          <w:lang w:val="es-CO"/>
        </w:rPr>
        <w:t xml:space="preserve"> activ</w:t>
      </w:r>
      <w:r w:rsidR="005636A6">
        <w:rPr>
          <w:rFonts w:ascii="Times New Roman" w:hAnsi="Times New Roman"/>
          <w:sz w:val="20"/>
          <w:lang w:val="es-CO"/>
        </w:rPr>
        <w:t>a</w:t>
      </w:r>
      <w:r w:rsidRPr="00500856">
        <w:rPr>
          <w:rFonts w:ascii="Times New Roman" w:hAnsi="Times New Roman"/>
          <w:sz w:val="20"/>
          <w:lang w:val="es-CO"/>
        </w:rPr>
        <w:t>s en Colombia a través de la Tarjeta CMR. Opera canales digitales (app, web) con procesamiento en tiempo real bajo redes Visa/Mastercard, generando exactamente el tipo de datos transaccionales modelados por PaySim. Su posición como banco retail-financiero implica alta exposición a fraude CNP [1] y cobertura de segmentos socio</w:t>
      </w:r>
      <w:r w:rsidR="00AD4439">
        <w:rPr>
          <w:rFonts w:ascii="Times New Roman" w:hAnsi="Times New Roman"/>
          <w:sz w:val="20"/>
          <w:lang w:val="es-CO"/>
        </w:rPr>
        <w:t>-</w:t>
      </w:r>
      <w:r w:rsidRPr="00500856">
        <w:rPr>
          <w:rFonts w:ascii="Times New Roman" w:hAnsi="Times New Roman"/>
          <w:sz w:val="20"/>
          <w:lang w:val="es-CO"/>
        </w:rPr>
        <w:t>demográficamente diversos, lo que eleva el riesgo de sesgo algorítmico [21].</w:t>
      </w:r>
    </w:p>
    <w:p w14:paraId="57C024AE" w14:textId="77777777" w:rsidR="00FE21DF" w:rsidRPr="00500856" w:rsidRDefault="00000000">
      <w:pPr>
        <w:pStyle w:val="Ttulo2"/>
        <w:rPr>
          <w:lang w:val="es-CO"/>
        </w:rPr>
      </w:pPr>
      <w:r w:rsidRPr="00500856">
        <w:rPr>
          <w:rFonts w:ascii="Times New Roman" w:hAnsi="Times New Roman"/>
          <w:sz w:val="22"/>
          <w:lang w:val="es-CO"/>
        </w:rPr>
        <w:t>1.4. Marco Legal</w:t>
      </w:r>
    </w:p>
    <w:p w14:paraId="014C08B2" w14:textId="1E264F71" w:rsidR="00FE21DF" w:rsidRPr="00500856" w:rsidRDefault="00000000">
      <w:pPr>
        <w:spacing w:before="60" w:after="60"/>
        <w:jc w:val="both"/>
        <w:rPr>
          <w:lang w:val="es-CO"/>
        </w:rPr>
      </w:pPr>
      <w:r w:rsidRPr="00500856">
        <w:rPr>
          <w:rFonts w:ascii="Times New Roman" w:hAnsi="Times New Roman"/>
          <w:sz w:val="20"/>
          <w:lang w:val="es-CO"/>
        </w:rPr>
        <w:t xml:space="preserve">El despliegue de IA para detección de fraude en Banco Falabella opera bajo los siguientes marcos normativos colombianos (Código </w:t>
      </w:r>
      <w:r w:rsidR="00500856" w:rsidRPr="00500856">
        <w:rPr>
          <w:rFonts w:ascii="Times New Roman" w:hAnsi="Times New Roman"/>
          <w:sz w:val="20"/>
          <w:lang w:val="es-CO"/>
        </w:rPr>
        <w:t>Penal Ley</w:t>
      </w:r>
      <w:r w:rsidRPr="00500856">
        <w:rPr>
          <w:rFonts w:ascii="Times New Roman" w:hAnsi="Times New Roman"/>
          <w:sz w:val="20"/>
          <w:lang w:val="es-CO"/>
        </w:rPr>
        <w:t xml:space="preserve"> 599/2000; Código Civil; Constitución Política de Colombia, 1991):</w:t>
      </w:r>
    </w:p>
    <w:p w14:paraId="5CF65434" w14:textId="77777777" w:rsidR="00FE21DF" w:rsidRPr="00500856" w:rsidRDefault="00000000">
      <w:pPr>
        <w:spacing w:before="60" w:after="60"/>
        <w:jc w:val="both"/>
        <w:rPr>
          <w:lang w:val="es-CO"/>
        </w:rPr>
      </w:pPr>
      <w:r w:rsidRPr="00500856">
        <w:rPr>
          <w:rFonts w:ascii="Times New Roman" w:hAnsi="Times New Roman"/>
          <w:sz w:val="18"/>
          <w:lang w:val="es-CO"/>
        </w:rPr>
        <w:t>• Art. 246 C.P.: tipifica la estafa. La IA actúa como mecanismo preventivo.</w:t>
      </w:r>
      <w:r w:rsidRPr="00500856">
        <w:rPr>
          <w:rFonts w:ascii="Times New Roman" w:hAnsi="Times New Roman"/>
          <w:sz w:val="18"/>
          <w:lang w:val="es-CO"/>
        </w:rPr>
        <w:br/>
        <w:t>• Art. 323 C.P.: SARLAFT obligatorio; reporte a la UIAF ante operaciones sospechosas [2].</w:t>
      </w:r>
      <w:r w:rsidRPr="00500856">
        <w:rPr>
          <w:rFonts w:ascii="Times New Roman" w:hAnsi="Times New Roman"/>
          <w:sz w:val="18"/>
          <w:lang w:val="es-CO"/>
        </w:rPr>
        <w:br/>
        <w:t>• Art. 2341 C.C. [9]: falso negativo (fraude consumado) obliga al banco a restituir fondos.</w:t>
      </w:r>
      <w:r w:rsidRPr="00500856">
        <w:rPr>
          <w:rFonts w:ascii="Times New Roman" w:hAnsi="Times New Roman"/>
          <w:sz w:val="18"/>
          <w:lang w:val="es-CO"/>
        </w:rPr>
        <w:br/>
        <w:t>• Art. 15 C.N.: falso positivo (bloqueo indebido) vulnera mínimo vital y buen nombre. La Corte Constitucional lo califica como de altísima gravedad [11].</w:t>
      </w:r>
      <w:r w:rsidRPr="00500856">
        <w:rPr>
          <w:rFonts w:ascii="Times New Roman" w:hAnsi="Times New Roman"/>
          <w:sz w:val="18"/>
          <w:lang w:val="es-CO"/>
        </w:rPr>
        <w:br/>
        <w:t>• Ley 1266/2008 [22]: prohíbe reportes negativos infundados en centrales de riesgo.</w:t>
      </w:r>
      <w:r w:rsidRPr="00500856">
        <w:rPr>
          <w:rFonts w:ascii="Times New Roman" w:hAnsi="Times New Roman"/>
          <w:sz w:val="18"/>
          <w:lang w:val="es-CO"/>
        </w:rPr>
        <w:br/>
        <w:t>• Ley 1328/2009, Art. 3: altos estándares de atención al consumidor financiero.</w:t>
      </w:r>
      <w:r w:rsidRPr="00500856">
        <w:rPr>
          <w:rFonts w:ascii="Times New Roman" w:hAnsi="Times New Roman"/>
          <w:sz w:val="18"/>
          <w:lang w:val="es-CO"/>
        </w:rPr>
        <w:br/>
      </w:r>
      <w:r w:rsidRPr="00500856">
        <w:rPr>
          <w:rFonts w:ascii="Times New Roman" w:hAnsi="Times New Roman"/>
          <w:sz w:val="18"/>
          <w:lang w:val="es-CO"/>
        </w:rPr>
        <w:t>• Circular SFC 029/2014 [24]: autoriza bloqueos preventivos con procedimiento expedito de reactivación.</w:t>
      </w:r>
    </w:p>
    <w:p w14:paraId="710929ED" w14:textId="77777777" w:rsidR="00FE21DF" w:rsidRPr="00500856" w:rsidRDefault="00000000">
      <w:pPr>
        <w:pStyle w:val="Ttulo2"/>
        <w:rPr>
          <w:lang w:val="es-CO"/>
        </w:rPr>
      </w:pPr>
      <w:r w:rsidRPr="00500856">
        <w:rPr>
          <w:rFonts w:ascii="Times New Roman" w:hAnsi="Times New Roman"/>
          <w:sz w:val="22"/>
          <w:lang w:val="es-CO"/>
        </w:rPr>
        <w:t>1.5. Ética en la Toma de Decisiones</w:t>
      </w:r>
    </w:p>
    <w:p w14:paraId="079A6901" w14:textId="5A7D9F23" w:rsidR="00FE21DF" w:rsidRPr="00500856" w:rsidRDefault="00000000">
      <w:pPr>
        <w:spacing w:before="60" w:after="60"/>
        <w:jc w:val="both"/>
        <w:rPr>
          <w:lang w:val="es-CO"/>
        </w:rPr>
      </w:pPr>
      <w:r w:rsidRPr="00500856">
        <w:rPr>
          <w:rFonts w:ascii="Times New Roman" w:hAnsi="Times New Roman"/>
          <w:sz w:val="20"/>
          <w:lang w:val="es-CO"/>
        </w:rPr>
        <w:t xml:space="preserve">La automatización de decisiones de bloqueo implica transferencia de poder hacia algoritmos con consecuencias jurídicas concretas. El framework FAccT [12] estructura el análisis ético en tres pilares: (i) Fairness: los modelos heredan sesgos históricos que afectan perfiles thin-file, zonas rurales y minorías (Obermeyer et al., Science 2019; Eubanks, 2018); (ii) Accountability: responsabilidad directa por consecuencias de decisiones automatizadas [22][9]; (iii) Transparency: RF y CatBoost son modelos </w:t>
      </w:r>
      <w:r w:rsidR="00AD4439" w:rsidRPr="00500856">
        <w:rPr>
          <w:rFonts w:ascii="Times New Roman" w:hAnsi="Times New Roman"/>
          <w:sz w:val="20"/>
          <w:lang w:val="es-CO"/>
        </w:rPr>
        <w:t>opacos la</w:t>
      </w:r>
      <w:r w:rsidRPr="00500856">
        <w:rPr>
          <w:rFonts w:ascii="Times New Roman" w:hAnsi="Times New Roman"/>
          <w:sz w:val="20"/>
          <w:lang w:val="es-CO"/>
        </w:rPr>
        <w:t xml:space="preserve"> solución es XAI con SHAP [13] y LIME [14].</w:t>
      </w:r>
    </w:p>
    <w:p w14:paraId="49BB013D" w14:textId="77777777" w:rsidR="00FE21DF" w:rsidRPr="00500856" w:rsidRDefault="00000000">
      <w:pPr>
        <w:pStyle w:val="Ttulo1"/>
        <w:rPr>
          <w:lang w:val="es-CO"/>
        </w:rPr>
      </w:pPr>
      <w:r w:rsidRPr="00500856">
        <w:rPr>
          <w:rFonts w:ascii="Times New Roman" w:hAnsi="Times New Roman"/>
          <w:sz w:val="24"/>
          <w:lang w:val="es-CO"/>
        </w:rPr>
        <w:t>2. ENTENDIMIENTO DE LOS DATOS</w:t>
      </w:r>
    </w:p>
    <w:p w14:paraId="262B4BA4" w14:textId="77777777" w:rsidR="00FE21DF" w:rsidRPr="00500856" w:rsidRDefault="00000000">
      <w:pPr>
        <w:pStyle w:val="Ttulo2"/>
        <w:rPr>
          <w:lang w:val="es-CO"/>
        </w:rPr>
      </w:pPr>
      <w:r w:rsidRPr="00500856">
        <w:rPr>
          <w:rFonts w:ascii="Times New Roman" w:hAnsi="Times New Roman"/>
          <w:sz w:val="22"/>
          <w:lang w:val="es-CO"/>
        </w:rPr>
        <w:t>2.1. Estructura y Justificación del Muestreo</w:t>
      </w:r>
    </w:p>
    <w:p w14:paraId="66019B2F" w14:textId="03044F04" w:rsidR="00FE21DF" w:rsidRPr="00500856" w:rsidRDefault="00000000">
      <w:pPr>
        <w:spacing w:before="60" w:after="60"/>
        <w:jc w:val="both"/>
        <w:rPr>
          <w:lang w:val="es-CO"/>
        </w:rPr>
      </w:pPr>
      <w:r w:rsidRPr="00500856">
        <w:rPr>
          <w:rFonts w:ascii="Times New Roman" w:hAnsi="Times New Roman"/>
          <w:sz w:val="20"/>
          <w:lang w:val="es-CO"/>
        </w:rPr>
        <w:t>El dataset PaySim [17] cuenta con 6</w:t>
      </w:r>
      <w:r w:rsidR="002537F4">
        <w:rPr>
          <w:rFonts w:ascii="Times New Roman" w:hAnsi="Times New Roman"/>
          <w:sz w:val="20"/>
          <w:lang w:val="es-CO"/>
        </w:rPr>
        <w:t>´</w:t>
      </w:r>
      <w:r w:rsidRPr="00500856">
        <w:rPr>
          <w:rFonts w:ascii="Times New Roman" w:hAnsi="Times New Roman"/>
          <w:sz w:val="20"/>
          <w:lang w:val="es-CO"/>
        </w:rPr>
        <w:t xml:space="preserve">362.620 filas y 11 columnas. </w:t>
      </w:r>
      <w:r>
        <w:rPr>
          <w:rFonts w:ascii="Times New Roman" w:hAnsi="Times New Roman"/>
          <w:sz w:val="20"/>
        </w:rPr>
        <w:t xml:space="preserve">Las variables predictoras clave son: step (hora, rango 1–743), type (CASH_IN, CASH_OUT, DEBIT, PAYMENT, TRANSFER), amount, oldbalanceOrg, newbalanceOrig, oldbalanceDest y newbalanceDest. </w:t>
      </w:r>
      <w:r w:rsidRPr="00500856">
        <w:rPr>
          <w:rFonts w:ascii="Times New Roman" w:hAnsi="Times New Roman"/>
          <w:sz w:val="20"/>
          <w:lang w:val="es-CO"/>
        </w:rPr>
        <w:t>Las variables nameOrig y nameDest (identificadores únicos sin poder predictivo) e isFlaggedFraud fueron eliminadas del pipeline [26]. El análisis con ydata-profiling confirmó cero valores faltantes y alta asimetría en amount, justificando la transformación logarítmica [27].</w:t>
      </w:r>
    </w:p>
    <w:p w14:paraId="66AB3449" w14:textId="77777777" w:rsidR="00FE21DF" w:rsidRPr="00500856" w:rsidRDefault="00000000">
      <w:pPr>
        <w:spacing w:before="60" w:after="60"/>
        <w:jc w:val="both"/>
        <w:rPr>
          <w:lang w:val="es-CO"/>
        </w:rPr>
      </w:pPr>
      <w:r w:rsidRPr="00500856">
        <w:rPr>
          <w:rFonts w:ascii="Times New Roman" w:hAnsi="Times New Roman"/>
          <w:sz w:val="20"/>
          <w:lang w:val="es-CO"/>
        </w:rPr>
        <w:t>Dado que el dataset completo (471 MB) supera los recursos de memoria disponibles (8 GB RAM), se implementó una estrategia de muestreo deliberada: se conservaron la totalidad de los 8.213 registros de fraude (clase minoritaria completa) y se seleccionaron aleatoriamente 491.787 transacciones legítimas (random_state=42), obteniendo una muestra de 500.000 registros. La tabla siguiente compara la distribución original vs. la muestra:</w:t>
      </w:r>
    </w:p>
    <w:tbl>
      <w:tblPr>
        <w:tblStyle w:val="Tablaconcuadrcula"/>
        <w:tblW w:w="0" w:type="auto"/>
        <w:tblLook w:val="04A0" w:firstRow="1" w:lastRow="0" w:firstColumn="1" w:lastColumn="0" w:noHBand="0" w:noVBand="1"/>
      </w:tblPr>
      <w:tblGrid>
        <w:gridCol w:w="1706"/>
        <w:gridCol w:w="1618"/>
        <w:gridCol w:w="1575"/>
      </w:tblGrid>
      <w:tr w:rsidR="00FE21DF" w14:paraId="57610B95" w14:textId="77777777">
        <w:tc>
          <w:tcPr>
            <w:tcW w:w="3362" w:type="dxa"/>
          </w:tcPr>
          <w:p w14:paraId="5101C908" w14:textId="77777777" w:rsidR="00FE21DF" w:rsidRDefault="00000000">
            <w:r>
              <w:rPr>
                <w:rFonts w:ascii="Times New Roman" w:hAnsi="Times New Roman"/>
                <w:b/>
                <w:sz w:val="16"/>
              </w:rPr>
              <w:t>Métrica</w:t>
            </w:r>
          </w:p>
        </w:tc>
        <w:tc>
          <w:tcPr>
            <w:tcW w:w="3362" w:type="dxa"/>
          </w:tcPr>
          <w:p w14:paraId="4C8A230E" w14:textId="77777777" w:rsidR="00FE21DF" w:rsidRDefault="00000000">
            <w:r>
              <w:rPr>
                <w:rFonts w:ascii="Times New Roman" w:hAnsi="Times New Roman"/>
                <w:b/>
                <w:sz w:val="16"/>
              </w:rPr>
              <w:t>Dataset original</w:t>
            </w:r>
          </w:p>
        </w:tc>
        <w:tc>
          <w:tcPr>
            <w:tcW w:w="3362" w:type="dxa"/>
          </w:tcPr>
          <w:p w14:paraId="6A6FA02F" w14:textId="77777777" w:rsidR="00FE21DF" w:rsidRDefault="00000000">
            <w:r>
              <w:rPr>
                <w:rFonts w:ascii="Times New Roman" w:hAnsi="Times New Roman"/>
                <w:b/>
                <w:sz w:val="16"/>
              </w:rPr>
              <w:t>Muestra (500k)</w:t>
            </w:r>
          </w:p>
        </w:tc>
      </w:tr>
      <w:tr w:rsidR="00FE21DF" w14:paraId="4FAE5794" w14:textId="77777777">
        <w:tc>
          <w:tcPr>
            <w:tcW w:w="3362" w:type="dxa"/>
          </w:tcPr>
          <w:p w14:paraId="41062B2B" w14:textId="77777777" w:rsidR="00FE21DF" w:rsidRDefault="00000000">
            <w:r>
              <w:rPr>
                <w:rFonts w:ascii="Times New Roman" w:hAnsi="Times New Roman"/>
                <w:sz w:val="16"/>
              </w:rPr>
              <w:t>Total filas</w:t>
            </w:r>
          </w:p>
        </w:tc>
        <w:tc>
          <w:tcPr>
            <w:tcW w:w="3362" w:type="dxa"/>
          </w:tcPr>
          <w:p w14:paraId="24B2FADF" w14:textId="77777777" w:rsidR="00FE21DF" w:rsidRDefault="00000000">
            <w:r>
              <w:rPr>
                <w:rFonts w:ascii="Times New Roman" w:hAnsi="Times New Roman"/>
                <w:sz w:val="16"/>
              </w:rPr>
              <w:t>6.362.620</w:t>
            </w:r>
          </w:p>
        </w:tc>
        <w:tc>
          <w:tcPr>
            <w:tcW w:w="3362" w:type="dxa"/>
          </w:tcPr>
          <w:p w14:paraId="014F0639" w14:textId="77777777" w:rsidR="00FE21DF" w:rsidRDefault="00000000">
            <w:r>
              <w:rPr>
                <w:rFonts w:ascii="Times New Roman" w:hAnsi="Times New Roman"/>
                <w:sz w:val="16"/>
              </w:rPr>
              <w:t>500.000</w:t>
            </w:r>
          </w:p>
        </w:tc>
      </w:tr>
      <w:tr w:rsidR="00FE21DF" w14:paraId="29F258BD" w14:textId="77777777">
        <w:tc>
          <w:tcPr>
            <w:tcW w:w="3362" w:type="dxa"/>
          </w:tcPr>
          <w:p w14:paraId="6E629C4F" w14:textId="77777777" w:rsidR="00FE21DF" w:rsidRDefault="00000000">
            <w:r>
              <w:rPr>
                <w:rFonts w:ascii="Times New Roman" w:hAnsi="Times New Roman"/>
                <w:sz w:val="16"/>
              </w:rPr>
              <w:t>Registros fraude</w:t>
            </w:r>
          </w:p>
        </w:tc>
        <w:tc>
          <w:tcPr>
            <w:tcW w:w="3362" w:type="dxa"/>
          </w:tcPr>
          <w:p w14:paraId="58137C4F" w14:textId="77777777" w:rsidR="00FE21DF" w:rsidRDefault="00000000">
            <w:r>
              <w:rPr>
                <w:rFonts w:ascii="Times New Roman" w:hAnsi="Times New Roman"/>
                <w:sz w:val="16"/>
              </w:rPr>
              <w:t>8.213</w:t>
            </w:r>
          </w:p>
        </w:tc>
        <w:tc>
          <w:tcPr>
            <w:tcW w:w="3362" w:type="dxa"/>
          </w:tcPr>
          <w:p w14:paraId="7E94B50B" w14:textId="77777777" w:rsidR="00FE21DF" w:rsidRDefault="00000000">
            <w:r>
              <w:rPr>
                <w:rFonts w:ascii="Times New Roman" w:hAnsi="Times New Roman"/>
                <w:sz w:val="16"/>
              </w:rPr>
              <w:t>8.213</w:t>
            </w:r>
          </w:p>
        </w:tc>
      </w:tr>
      <w:tr w:rsidR="00FE21DF" w14:paraId="35F65686" w14:textId="77777777">
        <w:tc>
          <w:tcPr>
            <w:tcW w:w="3362" w:type="dxa"/>
          </w:tcPr>
          <w:p w14:paraId="51431A4F" w14:textId="77777777" w:rsidR="00FE21DF" w:rsidRDefault="00000000">
            <w:r>
              <w:rPr>
                <w:rFonts w:ascii="Times New Roman" w:hAnsi="Times New Roman"/>
                <w:sz w:val="16"/>
              </w:rPr>
              <w:t>Registros legítimos</w:t>
            </w:r>
          </w:p>
        </w:tc>
        <w:tc>
          <w:tcPr>
            <w:tcW w:w="3362" w:type="dxa"/>
          </w:tcPr>
          <w:p w14:paraId="165525C3" w14:textId="77777777" w:rsidR="00FE21DF" w:rsidRDefault="00000000">
            <w:r>
              <w:rPr>
                <w:rFonts w:ascii="Times New Roman" w:hAnsi="Times New Roman"/>
                <w:sz w:val="16"/>
              </w:rPr>
              <w:t>6.354.407</w:t>
            </w:r>
          </w:p>
        </w:tc>
        <w:tc>
          <w:tcPr>
            <w:tcW w:w="3362" w:type="dxa"/>
          </w:tcPr>
          <w:p w14:paraId="5B96743E" w14:textId="77777777" w:rsidR="00FE21DF" w:rsidRDefault="00000000">
            <w:r>
              <w:rPr>
                <w:rFonts w:ascii="Times New Roman" w:hAnsi="Times New Roman"/>
                <w:sz w:val="16"/>
              </w:rPr>
              <w:t>491.787</w:t>
            </w:r>
          </w:p>
        </w:tc>
      </w:tr>
      <w:tr w:rsidR="00FE21DF" w14:paraId="1C61CE5E" w14:textId="77777777">
        <w:tc>
          <w:tcPr>
            <w:tcW w:w="3362" w:type="dxa"/>
          </w:tcPr>
          <w:p w14:paraId="46623104" w14:textId="77777777" w:rsidR="00FE21DF" w:rsidRDefault="00000000">
            <w:r>
              <w:rPr>
                <w:rFonts w:ascii="Times New Roman" w:hAnsi="Times New Roman"/>
                <w:sz w:val="16"/>
              </w:rPr>
              <w:t>% Fraude</w:t>
            </w:r>
          </w:p>
        </w:tc>
        <w:tc>
          <w:tcPr>
            <w:tcW w:w="3362" w:type="dxa"/>
          </w:tcPr>
          <w:p w14:paraId="3FFF343B" w14:textId="77777777" w:rsidR="00FE21DF" w:rsidRDefault="00000000">
            <w:r>
              <w:rPr>
                <w:rFonts w:ascii="Times New Roman" w:hAnsi="Times New Roman"/>
                <w:sz w:val="16"/>
              </w:rPr>
              <w:t>0,129%</w:t>
            </w:r>
          </w:p>
        </w:tc>
        <w:tc>
          <w:tcPr>
            <w:tcW w:w="3362" w:type="dxa"/>
          </w:tcPr>
          <w:p w14:paraId="3C8383BD" w14:textId="77777777" w:rsidR="00FE21DF" w:rsidRDefault="00000000">
            <w:r>
              <w:rPr>
                <w:rFonts w:ascii="Times New Roman" w:hAnsi="Times New Roman"/>
                <w:sz w:val="16"/>
              </w:rPr>
              <w:t>1,643%</w:t>
            </w:r>
          </w:p>
        </w:tc>
      </w:tr>
      <w:tr w:rsidR="00FE21DF" w14:paraId="12ED2672" w14:textId="77777777">
        <w:tc>
          <w:tcPr>
            <w:tcW w:w="3362" w:type="dxa"/>
          </w:tcPr>
          <w:p w14:paraId="6F36A46B" w14:textId="77777777" w:rsidR="00FE21DF" w:rsidRDefault="00000000">
            <w:r>
              <w:rPr>
                <w:rFonts w:ascii="Times New Roman" w:hAnsi="Times New Roman"/>
                <w:sz w:val="16"/>
              </w:rPr>
              <w:t>Todos los fraudes preservados</w:t>
            </w:r>
          </w:p>
        </w:tc>
        <w:tc>
          <w:tcPr>
            <w:tcW w:w="3362" w:type="dxa"/>
          </w:tcPr>
          <w:p w14:paraId="1E4E8686" w14:textId="06E0F0C9" w:rsidR="00FE21DF" w:rsidRDefault="00FE21DF"/>
        </w:tc>
        <w:tc>
          <w:tcPr>
            <w:tcW w:w="3362" w:type="dxa"/>
          </w:tcPr>
          <w:p w14:paraId="458B7AA7" w14:textId="77777777" w:rsidR="00FE21DF" w:rsidRDefault="00000000">
            <w:r>
              <w:rPr>
                <w:rFonts w:ascii="Times New Roman" w:hAnsi="Times New Roman"/>
                <w:sz w:val="16"/>
              </w:rPr>
              <w:t>✓ 100%</w:t>
            </w:r>
          </w:p>
        </w:tc>
      </w:tr>
    </w:tbl>
    <w:p w14:paraId="2EE8ABB9" w14:textId="6B642D2F" w:rsidR="00FE21DF" w:rsidRPr="00500856" w:rsidRDefault="00000000">
      <w:pPr>
        <w:jc w:val="center"/>
        <w:rPr>
          <w:lang w:val="es-CO"/>
        </w:rPr>
      </w:pPr>
      <w:r w:rsidRPr="00500856">
        <w:rPr>
          <w:rFonts w:ascii="Times New Roman" w:hAnsi="Times New Roman"/>
          <w:i/>
          <w:sz w:val="16"/>
          <w:lang w:val="es-CO"/>
        </w:rPr>
        <w:t xml:space="preserve">Tabla 1. Comparación distribución original vs. muestra. Decisión de diseño deliberada: conservar el 100% de los fraudes (n=8.213) maximiza la información disponible de la clase minoritaria para el entrenamiento, a costa de elevar la proporción de fraude del 0,129% al 1,643% en la muestra. Esta estrategia es recomendada por [15] y [4] </w:t>
      </w:r>
      <w:r w:rsidRPr="00500856">
        <w:rPr>
          <w:rFonts w:ascii="Times New Roman" w:hAnsi="Times New Roman"/>
          <w:i/>
          <w:sz w:val="16"/>
          <w:lang w:val="es-CO"/>
        </w:rPr>
        <w:lastRenderedPageBreak/>
        <w:t xml:space="preserve">cuando la clase minoritaria es escasa: eliminar ejemplos reales de fraude para mantener la proporción original degradaría la capacidad predictiva del modelo. </w:t>
      </w:r>
    </w:p>
    <w:p w14:paraId="2F10968C" w14:textId="77777777" w:rsidR="00FE21DF" w:rsidRPr="00500856" w:rsidRDefault="00000000">
      <w:pPr>
        <w:pStyle w:val="Ttulo2"/>
        <w:rPr>
          <w:lang w:val="es-CO"/>
        </w:rPr>
      </w:pPr>
      <w:r w:rsidRPr="00500856">
        <w:rPr>
          <w:rFonts w:ascii="Times New Roman" w:hAnsi="Times New Roman"/>
          <w:sz w:val="22"/>
          <w:lang w:val="es-CO"/>
        </w:rPr>
        <w:t>2.2. Distribución de la Variable Objetivo</w:t>
      </w:r>
    </w:p>
    <w:p w14:paraId="2A6C577F" w14:textId="77777777" w:rsidR="00FE21DF" w:rsidRPr="00500856" w:rsidRDefault="00000000">
      <w:pPr>
        <w:spacing w:before="60" w:after="60"/>
        <w:jc w:val="both"/>
        <w:rPr>
          <w:lang w:val="es-CO"/>
        </w:rPr>
      </w:pPr>
      <w:r w:rsidRPr="00500856">
        <w:rPr>
          <w:rFonts w:ascii="Times New Roman" w:hAnsi="Times New Roman"/>
          <w:sz w:val="20"/>
          <w:lang w:val="es-CO"/>
        </w:rPr>
        <w:t>La variable isFraud presenta desbalance extremo: 99,87% transacciones legítimas y 0,13% fraudulentas, configurando la Paradoja de la Precisión [18]. Este desbalance hace inviable el uso de Accuracy como métrica y obliga a utilizar F1-score, ROC-AUC y métricas sensibles al costo [28].</w:t>
      </w:r>
    </w:p>
    <w:p w14:paraId="1965666D" w14:textId="77777777" w:rsidR="00FE21DF" w:rsidRDefault="00000000">
      <w:pPr>
        <w:jc w:val="center"/>
      </w:pPr>
      <w:r>
        <w:rPr>
          <w:noProof/>
        </w:rPr>
        <w:drawing>
          <wp:inline distT="0" distB="0" distL="0" distR="0" wp14:anchorId="7B9C53F3" wp14:editId="374D9381">
            <wp:extent cx="2700000" cy="12432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istribucion_isfraude.png"/>
                    <pic:cNvPicPr/>
                  </pic:nvPicPr>
                  <pic:blipFill>
                    <a:blip r:embed="rId6"/>
                    <a:stretch>
                      <a:fillRect/>
                    </a:stretch>
                  </pic:blipFill>
                  <pic:spPr>
                    <a:xfrm>
                      <a:off x="0" y="0"/>
                      <a:ext cx="2700000" cy="1243256"/>
                    </a:xfrm>
                    <a:prstGeom prst="rect">
                      <a:avLst/>
                    </a:prstGeom>
                  </pic:spPr>
                </pic:pic>
              </a:graphicData>
            </a:graphic>
          </wp:inline>
        </w:drawing>
      </w:r>
    </w:p>
    <w:p w14:paraId="62171B6B" w14:textId="77777777" w:rsidR="00FE21DF" w:rsidRPr="00500856" w:rsidRDefault="00000000">
      <w:pPr>
        <w:spacing w:after="120"/>
        <w:jc w:val="center"/>
        <w:rPr>
          <w:lang w:val="es-CO"/>
        </w:rPr>
      </w:pPr>
      <w:r w:rsidRPr="00500856">
        <w:rPr>
          <w:rFonts w:ascii="Times New Roman" w:hAnsi="Times New Roman"/>
          <w:i/>
          <w:sz w:val="17"/>
          <w:lang w:val="es-CO"/>
        </w:rPr>
        <w:t>Figura 1. Distribución de la variable objetivo isFraud. Elaboración propia con dataset PaySim [17].</w:t>
      </w:r>
    </w:p>
    <w:p w14:paraId="2B83BE13" w14:textId="77777777" w:rsidR="00FE21DF" w:rsidRPr="00500856" w:rsidRDefault="00000000">
      <w:pPr>
        <w:pStyle w:val="Ttulo2"/>
        <w:rPr>
          <w:lang w:val="es-CO"/>
        </w:rPr>
      </w:pPr>
      <w:r w:rsidRPr="00500856">
        <w:rPr>
          <w:rFonts w:ascii="Times New Roman" w:hAnsi="Times New Roman"/>
          <w:sz w:val="22"/>
          <w:lang w:val="es-CO"/>
        </w:rPr>
        <w:t>2.3. Estadística Descriptiva e IQR</w:t>
      </w:r>
    </w:p>
    <w:p w14:paraId="781FAF72" w14:textId="077AC599" w:rsidR="00FE21DF" w:rsidRPr="00500856" w:rsidRDefault="00000000">
      <w:pPr>
        <w:spacing w:before="60" w:after="60"/>
        <w:jc w:val="both"/>
        <w:rPr>
          <w:lang w:val="es-CO"/>
        </w:rPr>
      </w:pPr>
      <w:r w:rsidRPr="00500856">
        <w:rPr>
          <w:rFonts w:ascii="Times New Roman" w:hAnsi="Times New Roman"/>
          <w:sz w:val="20"/>
          <w:lang w:val="es-CO"/>
        </w:rPr>
        <w:t xml:space="preserve">El análisis de rangos intercuartílicos (IQR = Q3 − Q1) revela que el monto promedio de transacciones fraudulentas (media ≈ $1.467.466) supera ampliamente el de transacciones legítimas. Más del 75% de las transacciones fraudulentas superan el umbral de Tukey (Q3 + 1,5×IQR) de las legítimas, configurando outliers </w:t>
      </w:r>
      <w:r w:rsidR="002537F4" w:rsidRPr="00500856">
        <w:rPr>
          <w:rFonts w:ascii="Times New Roman" w:hAnsi="Times New Roman"/>
          <w:sz w:val="20"/>
          <w:lang w:val="es-CO"/>
        </w:rPr>
        <w:t>estructurales no</w:t>
      </w:r>
      <w:r w:rsidRPr="00500856">
        <w:rPr>
          <w:rFonts w:ascii="Times New Roman" w:hAnsi="Times New Roman"/>
          <w:sz w:val="20"/>
          <w:lang w:val="es-CO"/>
        </w:rPr>
        <w:t xml:space="preserve"> aleatorios que justifican la transformación logarítmica [29].</w:t>
      </w:r>
    </w:p>
    <w:p w14:paraId="729AB2BB" w14:textId="77777777" w:rsidR="00FE21DF" w:rsidRDefault="00000000">
      <w:pPr>
        <w:jc w:val="center"/>
      </w:pPr>
      <w:r>
        <w:rPr>
          <w:noProof/>
        </w:rPr>
        <w:drawing>
          <wp:inline distT="0" distB="0" distL="0" distR="0" wp14:anchorId="36208A04" wp14:editId="195B803D">
            <wp:extent cx="2700000" cy="8405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oxplots.png"/>
                    <pic:cNvPicPr/>
                  </pic:nvPicPr>
                  <pic:blipFill>
                    <a:blip r:embed="rId7"/>
                    <a:stretch>
                      <a:fillRect/>
                    </a:stretch>
                  </pic:blipFill>
                  <pic:spPr>
                    <a:xfrm>
                      <a:off x="0" y="0"/>
                      <a:ext cx="2700000" cy="840566"/>
                    </a:xfrm>
                    <a:prstGeom prst="rect">
                      <a:avLst/>
                    </a:prstGeom>
                  </pic:spPr>
                </pic:pic>
              </a:graphicData>
            </a:graphic>
          </wp:inline>
        </w:drawing>
      </w:r>
    </w:p>
    <w:p w14:paraId="33C795C3" w14:textId="77777777" w:rsidR="00FE21DF" w:rsidRPr="00500856" w:rsidRDefault="00000000">
      <w:pPr>
        <w:spacing w:after="120"/>
        <w:jc w:val="center"/>
        <w:rPr>
          <w:lang w:val="es-CO"/>
        </w:rPr>
      </w:pPr>
      <w:r w:rsidRPr="00500856">
        <w:rPr>
          <w:rFonts w:ascii="Times New Roman" w:hAnsi="Times New Roman"/>
          <w:i/>
          <w:sz w:val="17"/>
          <w:lang w:val="es-CO"/>
        </w:rPr>
        <w:t>Figura 2. Boxplots de variables numéricas por clase (fraude vs legítima). Elaboración propia con dataset PaySim [17].</w:t>
      </w:r>
    </w:p>
    <w:p w14:paraId="0AC92DFD" w14:textId="77777777" w:rsidR="00FE21DF" w:rsidRPr="00500856" w:rsidRDefault="00000000">
      <w:pPr>
        <w:pStyle w:val="Ttulo2"/>
        <w:rPr>
          <w:lang w:val="es-CO"/>
        </w:rPr>
      </w:pPr>
      <w:r w:rsidRPr="00500856">
        <w:rPr>
          <w:rFonts w:ascii="Times New Roman" w:hAnsi="Times New Roman"/>
          <w:sz w:val="22"/>
          <w:lang w:val="es-CO"/>
        </w:rPr>
        <w:t>2.4. Correlaciones y Multicolinealidad</w:t>
      </w:r>
    </w:p>
    <w:p w14:paraId="62F5F5B6" w14:textId="77777777" w:rsidR="00FE21DF" w:rsidRPr="00500856" w:rsidRDefault="00000000">
      <w:pPr>
        <w:spacing w:before="60" w:after="60"/>
        <w:jc w:val="both"/>
        <w:rPr>
          <w:lang w:val="es-CO"/>
        </w:rPr>
      </w:pPr>
      <w:r w:rsidRPr="00500856">
        <w:rPr>
          <w:rFonts w:ascii="Times New Roman" w:hAnsi="Times New Roman"/>
          <w:sz w:val="20"/>
          <w:lang w:val="es-CO"/>
        </w:rPr>
        <w:t>La matriz de correlación identifica alta multicolinealidad entre oldbalanceOrg y newbalanceOrig (r = 0,98), resuelta mediante las variables derivadas error_balance [30]. Las variables con mayor correlación con isFraud son: error_balance_orig (r = 0,76), amount_log (r = 0,43) y type_TRANSFER (r = 0,38).</w:t>
      </w:r>
    </w:p>
    <w:p w14:paraId="10E026CE" w14:textId="1924CCC4" w:rsidR="00FE21DF" w:rsidRDefault="00481EA9">
      <w:pPr>
        <w:jc w:val="center"/>
      </w:pPr>
      <w:r w:rsidRPr="00481EA9">
        <w:rPr>
          <w:noProof/>
        </w:rPr>
        <w:drawing>
          <wp:inline distT="0" distB="0" distL="0" distR="0" wp14:anchorId="4B282A91" wp14:editId="5EF5DCCF">
            <wp:extent cx="2796782" cy="2613887"/>
            <wp:effectExtent l="0" t="0" r="3810" b="0"/>
            <wp:docPr id="1503096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96225" name=""/>
                    <pic:cNvPicPr/>
                  </pic:nvPicPr>
                  <pic:blipFill>
                    <a:blip r:embed="rId8"/>
                    <a:stretch>
                      <a:fillRect/>
                    </a:stretch>
                  </pic:blipFill>
                  <pic:spPr>
                    <a:xfrm>
                      <a:off x="0" y="0"/>
                      <a:ext cx="2796782" cy="2613887"/>
                    </a:xfrm>
                    <a:prstGeom prst="rect">
                      <a:avLst/>
                    </a:prstGeom>
                  </pic:spPr>
                </pic:pic>
              </a:graphicData>
            </a:graphic>
          </wp:inline>
        </w:drawing>
      </w:r>
    </w:p>
    <w:p w14:paraId="023D5E98" w14:textId="77777777" w:rsidR="00FE21DF" w:rsidRPr="00500856" w:rsidRDefault="00000000">
      <w:pPr>
        <w:spacing w:after="120"/>
        <w:jc w:val="center"/>
        <w:rPr>
          <w:lang w:val="es-CO"/>
        </w:rPr>
      </w:pPr>
      <w:r w:rsidRPr="00500856">
        <w:rPr>
          <w:rFonts w:ascii="Times New Roman" w:hAnsi="Times New Roman"/>
          <w:i/>
          <w:sz w:val="17"/>
          <w:lang w:val="es-CO"/>
        </w:rPr>
        <w:t>Figura 3. Matriz de correlación de variables numéricas. Elaboración propia con dataset PaySim [17].</w:t>
      </w:r>
    </w:p>
    <w:p w14:paraId="076291B6" w14:textId="77777777" w:rsidR="00FE21DF" w:rsidRPr="00500856" w:rsidRDefault="00000000">
      <w:pPr>
        <w:pStyle w:val="Ttulo2"/>
        <w:rPr>
          <w:lang w:val="es-CO"/>
        </w:rPr>
      </w:pPr>
      <w:r w:rsidRPr="00500856">
        <w:rPr>
          <w:rFonts w:ascii="Times New Roman" w:hAnsi="Times New Roman"/>
          <w:sz w:val="22"/>
          <w:lang w:val="es-CO"/>
        </w:rPr>
        <w:t>2.5. Histogramas y Distribución por Tipo</w:t>
      </w:r>
    </w:p>
    <w:p w14:paraId="6B7CB833" w14:textId="77777777" w:rsidR="00FE21DF" w:rsidRPr="00500856" w:rsidRDefault="00000000">
      <w:pPr>
        <w:spacing w:before="60" w:after="60"/>
        <w:jc w:val="both"/>
        <w:rPr>
          <w:lang w:val="es-CO"/>
        </w:rPr>
      </w:pPr>
      <w:r w:rsidRPr="00500856">
        <w:rPr>
          <w:rFonts w:ascii="Times New Roman" w:hAnsi="Times New Roman"/>
          <w:sz w:val="20"/>
          <w:lang w:val="es-CO"/>
        </w:rPr>
        <w:t>Los histogramas con hue=isFraud muestran solapamiento mínimo en amount_log y error_balance_orig, confirmando su poder discriminativo. El countplot type vs isFraud revela el hallazgo crítico: solo TRANSFER y CASH_OUT presentan fraude; PAYMENT, DEBIT y CASH_IN tienen isFraud = 0 en el 100% de los casos [31], lo que simplifica el espacio del problema y permite al modelo concentrarse en patrones de mayor riesgo.</w:t>
      </w:r>
    </w:p>
    <w:p w14:paraId="2AB37F7F" w14:textId="77777777" w:rsidR="00FE21DF" w:rsidRDefault="00000000">
      <w:pPr>
        <w:jc w:val="center"/>
      </w:pPr>
      <w:r>
        <w:rPr>
          <w:noProof/>
        </w:rPr>
        <w:drawing>
          <wp:inline distT="0" distB="0" distL="0" distR="0" wp14:anchorId="53A6B516" wp14:editId="3D7DF73E">
            <wp:extent cx="2700000" cy="11231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histogramas_fraude.png"/>
                    <pic:cNvPicPr/>
                  </pic:nvPicPr>
                  <pic:blipFill>
                    <a:blip r:embed="rId9"/>
                    <a:stretch>
                      <a:fillRect/>
                    </a:stretch>
                  </pic:blipFill>
                  <pic:spPr>
                    <a:xfrm>
                      <a:off x="0" y="0"/>
                      <a:ext cx="2700000" cy="1123109"/>
                    </a:xfrm>
                    <a:prstGeom prst="rect">
                      <a:avLst/>
                    </a:prstGeom>
                  </pic:spPr>
                </pic:pic>
              </a:graphicData>
            </a:graphic>
          </wp:inline>
        </w:drawing>
      </w:r>
    </w:p>
    <w:p w14:paraId="432EE2F5" w14:textId="77777777" w:rsidR="00FE21DF" w:rsidRDefault="00000000">
      <w:pPr>
        <w:spacing w:after="120"/>
        <w:jc w:val="center"/>
      </w:pPr>
      <w:r w:rsidRPr="00500856">
        <w:rPr>
          <w:rFonts w:ascii="Times New Roman" w:hAnsi="Times New Roman"/>
          <w:i/>
          <w:sz w:val="17"/>
          <w:lang w:val="es-CO"/>
        </w:rPr>
        <w:t xml:space="preserve">Figura 4. Histogramas con solapamiento fraude vs legítima (hue=isFraud). </w:t>
      </w:r>
      <w:r>
        <w:rPr>
          <w:rFonts w:ascii="Times New Roman" w:hAnsi="Times New Roman"/>
          <w:i/>
          <w:sz w:val="17"/>
        </w:rPr>
        <w:t>Elaboración propia con dataset PaySim [17].</w:t>
      </w:r>
    </w:p>
    <w:p w14:paraId="78C5B734" w14:textId="77777777" w:rsidR="00FE21DF" w:rsidRDefault="00000000">
      <w:pPr>
        <w:jc w:val="center"/>
      </w:pPr>
      <w:r>
        <w:rPr>
          <w:noProof/>
        </w:rPr>
        <w:drawing>
          <wp:inline distT="0" distB="0" distL="0" distR="0" wp14:anchorId="2482CEBB" wp14:editId="4941A12B">
            <wp:extent cx="2700000" cy="10360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untplot_type.png"/>
                    <pic:cNvPicPr/>
                  </pic:nvPicPr>
                  <pic:blipFill>
                    <a:blip r:embed="rId10"/>
                    <a:stretch>
                      <a:fillRect/>
                    </a:stretch>
                  </pic:blipFill>
                  <pic:spPr>
                    <a:xfrm>
                      <a:off x="0" y="0"/>
                      <a:ext cx="2700000" cy="1036047"/>
                    </a:xfrm>
                    <a:prstGeom prst="rect">
                      <a:avLst/>
                    </a:prstGeom>
                  </pic:spPr>
                </pic:pic>
              </a:graphicData>
            </a:graphic>
          </wp:inline>
        </w:drawing>
      </w:r>
    </w:p>
    <w:p w14:paraId="54123CCD" w14:textId="77777777" w:rsidR="00FE21DF" w:rsidRPr="00500856" w:rsidRDefault="00000000">
      <w:pPr>
        <w:spacing w:after="120"/>
        <w:jc w:val="center"/>
        <w:rPr>
          <w:lang w:val="es-CO"/>
        </w:rPr>
      </w:pPr>
      <w:r w:rsidRPr="00500856">
        <w:rPr>
          <w:rFonts w:ascii="Times New Roman" w:hAnsi="Times New Roman"/>
          <w:i/>
          <w:sz w:val="17"/>
          <w:lang w:val="es-CO"/>
        </w:rPr>
        <w:t>Figura 5. Distribución de tipo de transacción vs isFraud. Solo TRANSFER y CASH_OUT presentan fraude. Elaboración propia con dataset PaySim [17].</w:t>
      </w:r>
    </w:p>
    <w:p w14:paraId="5AB36880" w14:textId="77777777" w:rsidR="00FE21DF" w:rsidRPr="00500856" w:rsidRDefault="00000000">
      <w:pPr>
        <w:pStyle w:val="Ttulo1"/>
        <w:rPr>
          <w:lang w:val="es-CO"/>
        </w:rPr>
      </w:pPr>
      <w:r w:rsidRPr="00500856">
        <w:rPr>
          <w:rFonts w:ascii="Times New Roman" w:hAnsi="Times New Roman"/>
          <w:sz w:val="24"/>
          <w:lang w:val="es-CO"/>
        </w:rPr>
        <w:lastRenderedPageBreak/>
        <w:t>3. PREPARACIÓN DE LOS DATOS</w:t>
      </w:r>
    </w:p>
    <w:p w14:paraId="2FBCE326" w14:textId="77777777" w:rsidR="00FE21DF" w:rsidRPr="00500856" w:rsidRDefault="00000000">
      <w:pPr>
        <w:pStyle w:val="Ttulo2"/>
        <w:rPr>
          <w:lang w:val="es-CO"/>
        </w:rPr>
      </w:pPr>
      <w:r w:rsidRPr="00500856">
        <w:rPr>
          <w:rFonts w:ascii="Times New Roman" w:hAnsi="Times New Roman"/>
          <w:sz w:val="22"/>
          <w:lang w:val="es-CO"/>
        </w:rPr>
        <w:t>3.1. Pipeline de Preprocesamiento</w:t>
      </w:r>
    </w:p>
    <w:p w14:paraId="7C62EAD0" w14:textId="77777777" w:rsidR="00FE21DF" w:rsidRPr="00500856" w:rsidRDefault="00000000">
      <w:pPr>
        <w:spacing w:before="60" w:after="60"/>
        <w:jc w:val="both"/>
        <w:rPr>
          <w:lang w:val="es-CO"/>
        </w:rPr>
      </w:pPr>
      <w:r w:rsidRPr="00500856">
        <w:rPr>
          <w:rFonts w:ascii="Times New Roman" w:hAnsi="Times New Roman"/>
          <w:sz w:val="20"/>
          <w:lang w:val="es-CO"/>
        </w:rPr>
        <w:t>El pipeline de preprocesamiento aplicó las siguientes transformaciones sobre el dataset de 500.000 registros mediante muestreo estratificado asimétrico: (i) eliminación de nameOrig, nameDest e isFlaggedFraud [26]; (ii) one-hot encoding de type (5 categorías → 4 dummies); (iii) ingeniería de características: hour = step % 24, codificación cíclica hour_sin/hour_cos [32], error_balance_orig y error_balance_dest [30]; (iv) transformación log1p sobre amount y balances (Han et al., 2011). La partición train/test (80/20) se realizó con stratify=y para preservar la proporción de fraudes. El StandardScaler se ajustó exclusivamente sobre X_train y se aplicó como transformación sobre X_test, eliminando el riesgo de data leakage por escalado prematuro [26].</w:t>
      </w:r>
    </w:p>
    <w:p w14:paraId="79D72EBC" w14:textId="77777777" w:rsidR="00FE21DF" w:rsidRPr="00500856" w:rsidRDefault="00000000">
      <w:pPr>
        <w:pStyle w:val="Ttulo2"/>
        <w:rPr>
          <w:lang w:val="es-CO"/>
        </w:rPr>
      </w:pPr>
      <w:r w:rsidRPr="00500856">
        <w:rPr>
          <w:rFonts w:ascii="Times New Roman" w:hAnsi="Times New Roman"/>
          <w:sz w:val="22"/>
          <w:lang w:val="es-CO"/>
        </w:rPr>
        <w:t>3.2. Técnicas de Balanceo</w:t>
      </w:r>
    </w:p>
    <w:p w14:paraId="4F28E831" w14:textId="77777777" w:rsidR="00FE21DF" w:rsidRPr="00500856" w:rsidRDefault="00000000">
      <w:pPr>
        <w:spacing w:before="60" w:after="60"/>
        <w:jc w:val="both"/>
        <w:rPr>
          <w:lang w:val="es-CO"/>
        </w:rPr>
      </w:pPr>
      <w:r w:rsidRPr="00500856">
        <w:rPr>
          <w:rFonts w:ascii="Times New Roman" w:hAnsi="Times New Roman"/>
          <w:sz w:val="20"/>
          <w:lang w:val="es-CO"/>
        </w:rPr>
        <w:t>El desbalance extremo (0,13% fraudes) hace inviable el entrenamiento directo sobre la distribución original [18]. Se implementaron tres estrategias sobre el conjunto de entrenamiento exclusivamente:</w:t>
      </w:r>
    </w:p>
    <w:p w14:paraId="6F60906A" w14:textId="77777777" w:rsidR="00FE21DF" w:rsidRPr="00500856" w:rsidRDefault="00000000">
      <w:pPr>
        <w:spacing w:before="60" w:after="60"/>
        <w:jc w:val="both"/>
        <w:rPr>
          <w:lang w:val="es-CO"/>
        </w:rPr>
      </w:pPr>
      <w:r w:rsidRPr="00500856">
        <w:rPr>
          <w:rFonts w:ascii="Times New Roman" w:hAnsi="Times New Roman"/>
          <w:sz w:val="18"/>
          <w:lang w:val="es-CO"/>
        </w:rPr>
        <w:t>• Undersampling (RandomUnderSampler): reduce la clase mayoritaria al nivel de la minoritaria. Resultado: ~1.040 registros (50/50). Ventaja: preserva patrones genuinos sin artefactos. Riesgo: pérdida de información [15].</w:t>
      </w:r>
      <w:r w:rsidRPr="00500856">
        <w:rPr>
          <w:rFonts w:ascii="Times New Roman" w:hAnsi="Times New Roman"/>
          <w:sz w:val="18"/>
          <w:lang w:val="es-CO"/>
        </w:rPr>
        <w:br/>
        <w:t>• Oversampling (RandomOverSampler): replica la clase minoritaria hasta igualar la mayoritaria. Resultado: ~399.480 registros. Riesgo: overfitting por duplicación exacta.</w:t>
      </w:r>
      <w:r w:rsidRPr="00500856">
        <w:rPr>
          <w:rFonts w:ascii="Times New Roman" w:hAnsi="Times New Roman"/>
          <w:sz w:val="18"/>
          <w:lang w:val="es-CO"/>
        </w:rPr>
        <w:br/>
        <w:t>• SMOTE: genera ejemplos sintéticos de fraude mediante interpolación k-NN entre instancias reales [4]. Resultado: ~399.480 registros. Técnica más robusta en literatura de fraude financiero [33].</w:t>
      </w:r>
    </w:p>
    <w:p w14:paraId="669132EF" w14:textId="77777777" w:rsidR="00FE21DF" w:rsidRPr="00500856" w:rsidRDefault="00000000">
      <w:pPr>
        <w:pStyle w:val="Ttulo2"/>
        <w:rPr>
          <w:lang w:val="es-CO"/>
        </w:rPr>
      </w:pPr>
      <w:r w:rsidRPr="00500856">
        <w:rPr>
          <w:rFonts w:ascii="Times New Roman" w:hAnsi="Times New Roman"/>
          <w:sz w:val="22"/>
          <w:lang w:val="es-CO"/>
        </w:rPr>
        <w:t>3.3. EDA por Dataset Balanceado</w:t>
      </w:r>
    </w:p>
    <w:p w14:paraId="6B5BE18C" w14:textId="77777777" w:rsidR="00FE21DF" w:rsidRPr="00500856" w:rsidRDefault="00000000">
      <w:pPr>
        <w:spacing w:before="60" w:after="60"/>
        <w:jc w:val="both"/>
        <w:rPr>
          <w:lang w:val="es-CO"/>
        </w:rPr>
      </w:pPr>
      <w:r w:rsidRPr="00500856">
        <w:rPr>
          <w:rFonts w:ascii="Times New Roman" w:hAnsi="Times New Roman"/>
          <w:sz w:val="20"/>
          <w:lang w:val="es-CO"/>
        </w:rPr>
        <w:t>Tal como exige el taller, para cada base de datos balanceada se repitió el análisis del Punto 2: tamaño, distribución de clases, estadística descriptiva con IQR, boxplots, histogramas con hue=isFraud y correlaciones con la variable objetivo [33]. Los resultados se resumen a continuación.</w:t>
      </w:r>
    </w:p>
    <w:p w14:paraId="3EE8B930" w14:textId="5F848B7F" w:rsidR="00FE21DF" w:rsidRPr="00500856" w:rsidRDefault="00000000">
      <w:pPr>
        <w:pStyle w:val="Ttulo3"/>
        <w:rPr>
          <w:lang w:val="es-CO"/>
        </w:rPr>
      </w:pPr>
      <w:r w:rsidRPr="00500856">
        <w:rPr>
          <w:rFonts w:ascii="Times New Roman" w:hAnsi="Times New Roman"/>
          <w:sz w:val="20"/>
          <w:lang w:val="es-CO"/>
        </w:rPr>
        <w:t>3.3.1. Base 1  Undersampling</w:t>
      </w:r>
    </w:p>
    <w:p w14:paraId="01152DB3" w14:textId="5CF105EE" w:rsidR="00FE21DF" w:rsidRPr="00500856" w:rsidRDefault="00000000">
      <w:pPr>
        <w:spacing w:before="60" w:after="60"/>
        <w:jc w:val="both"/>
        <w:rPr>
          <w:lang w:val="es-CO"/>
        </w:rPr>
      </w:pPr>
      <w:r w:rsidRPr="00500856">
        <w:rPr>
          <w:rFonts w:ascii="Times New Roman" w:hAnsi="Times New Roman"/>
          <w:sz w:val="20"/>
          <w:lang w:val="es-CO"/>
        </w:rPr>
        <w:t xml:space="preserve">Tamaño: 13.140 registros (6.570 fraudes / 6.570 legítimas  ratio 50/50). La reducción drástica de la clase mayoritaria preserva los patrones genuinos de fraude sin introducir artefactos, pero eleva la varianza de las estimaciones estadísticas por el tamaño reducido [15]. IQR de </w:t>
      </w:r>
      <w:r w:rsidRPr="00500856">
        <w:rPr>
          <w:rFonts w:ascii="Times New Roman" w:hAnsi="Times New Roman"/>
          <w:sz w:val="20"/>
          <w:lang w:val="es-CO"/>
        </w:rPr>
        <w:t xml:space="preserve">amount_log: Q1=9,21 / Q2=12,18 / Q3=14,08 / IQR=4,87. Correlación más alta con isFraud: error_balance_orig (r=0,78), amount_log (r=0,51). Los histogramas muestran separación clara entre </w:t>
      </w:r>
      <w:r w:rsidR="005636A6" w:rsidRPr="00500856">
        <w:rPr>
          <w:rFonts w:ascii="Times New Roman" w:hAnsi="Times New Roman"/>
          <w:sz w:val="20"/>
          <w:lang w:val="es-CO"/>
        </w:rPr>
        <w:t>clases mínimo</w:t>
      </w:r>
      <w:r w:rsidRPr="00500856">
        <w:rPr>
          <w:rFonts w:ascii="Times New Roman" w:hAnsi="Times New Roman"/>
          <w:sz w:val="20"/>
          <w:lang w:val="es-CO"/>
        </w:rPr>
        <w:t xml:space="preserve"> solapamiento en amount_log &gt; 13, lo que confirma el poder discriminativo de la variable ingeniada. Hallazgo: la distribución de amount es bimodal en la clase fraude (transacciones de monto bajo y alto), lo que justifica la transformación logarítmica.</w:t>
      </w:r>
    </w:p>
    <w:p w14:paraId="2486D58A" w14:textId="0811A077" w:rsidR="00FE21DF" w:rsidRPr="00500856" w:rsidRDefault="00000000">
      <w:pPr>
        <w:pStyle w:val="Ttulo3"/>
        <w:rPr>
          <w:lang w:val="es-CO"/>
        </w:rPr>
      </w:pPr>
      <w:r w:rsidRPr="00500856">
        <w:rPr>
          <w:rFonts w:ascii="Times New Roman" w:hAnsi="Times New Roman"/>
          <w:sz w:val="20"/>
          <w:lang w:val="es-CO"/>
        </w:rPr>
        <w:t xml:space="preserve">3.3.2. Base </w:t>
      </w:r>
      <w:r w:rsidR="005636A6" w:rsidRPr="00500856">
        <w:rPr>
          <w:rFonts w:ascii="Times New Roman" w:hAnsi="Times New Roman"/>
          <w:sz w:val="20"/>
          <w:lang w:val="es-CO"/>
        </w:rPr>
        <w:t>2 Oversampling</w:t>
      </w:r>
    </w:p>
    <w:p w14:paraId="63BADABC" w14:textId="6C9844F9" w:rsidR="00FE21DF" w:rsidRPr="00500856" w:rsidRDefault="00000000">
      <w:pPr>
        <w:spacing w:before="60" w:after="60"/>
        <w:jc w:val="both"/>
        <w:rPr>
          <w:lang w:val="es-CO"/>
        </w:rPr>
      </w:pPr>
      <w:r w:rsidRPr="00500856">
        <w:rPr>
          <w:rFonts w:ascii="Times New Roman" w:hAnsi="Times New Roman"/>
          <w:sz w:val="20"/>
          <w:lang w:val="es-CO"/>
        </w:rPr>
        <w:t xml:space="preserve">Tamaño: 786.860 registros (393.430 fraudes / 393.430 </w:t>
      </w:r>
      <w:r w:rsidR="005636A6" w:rsidRPr="00500856">
        <w:rPr>
          <w:rFonts w:ascii="Times New Roman" w:hAnsi="Times New Roman"/>
          <w:sz w:val="20"/>
          <w:lang w:val="es-CO"/>
        </w:rPr>
        <w:t>legítimas ratio</w:t>
      </w:r>
      <w:r w:rsidRPr="00500856">
        <w:rPr>
          <w:rFonts w:ascii="Times New Roman" w:hAnsi="Times New Roman"/>
          <w:sz w:val="20"/>
          <w:lang w:val="es-CO"/>
        </w:rPr>
        <w:t xml:space="preserve"> 50/50). Al replicar exactamente los 6.570 registros de fraude originales hasta igualar la clase mayoritaria, las estadísticas descriptivas de la clase fraude son idénticas al dataset original (sin varianza adicional). IQR de amount_log: Q1=9,21 / Q2=12,18 / Q3=14,08 (igual al </w:t>
      </w:r>
      <w:r w:rsidR="00FC63E6" w:rsidRPr="00500856">
        <w:rPr>
          <w:rFonts w:ascii="Times New Roman" w:hAnsi="Times New Roman"/>
          <w:sz w:val="20"/>
          <w:lang w:val="es-CO"/>
        </w:rPr>
        <w:t>original sin</w:t>
      </w:r>
      <w:r w:rsidRPr="00500856">
        <w:rPr>
          <w:rFonts w:ascii="Times New Roman" w:hAnsi="Times New Roman"/>
          <w:sz w:val="20"/>
          <w:lang w:val="es-CO"/>
        </w:rPr>
        <w:t xml:space="preserve"> ruido). Correlación error_balance_orig con isFraud: r=0,76. Riesgo: el modelo puede memorizar los patrones exactos de los 6.570 fraudes replicados (overfitting), lo que explica el AUC=1,0000 del RF sobre este dataset [4]. Los boxplots confirman distribuciones idénticas a la clase fraude original, sin ninguna variabilidad adicional.</w:t>
      </w:r>
    </w:p>
    <w:p w14:paraId="12664E35" w14:textId="036B0215" w:rsidR="00FE21DF" w:rsidRPr="00500856" w:rsidRDefault="00000000">
      <w:pPr>
        <w:pStyle w:val="Ttulo3"/>
        <w:rPr>
          <w:lang w:val="es-CO"/>
        </w:rPr>
      </w:pPr>
      <w:r w:rsidRPr="00500856">
        <w:rPr>
          <w:rFonts w:ascii="Times New Roman" w:hAnsi="Times New Roman"/>
          <w:sz w:val="20"/>
          <w:lang w:val="es-CO"/>
        </w:rPr>
        <w:t xml:space="preserve">3.3.3. Base </w:t>
      </w:r>
      <w:r w:rsidR="00FC63E6" w:rsidRPr="00500856">
        <w:rPr>
          <w:rFonts w:ascii="Times New Roman" w:hAnsi="Times New Roman"/>
          <w:sz w:val="20"/>
          <w:lang w:val="es-CO"/>
        </w:rPr>
        <w:t>3 SMOTE</w:t>
      </w:r>
    </w:p>
    <w:p w14:paraId="79D2F242" w14:textId="6FE50942" w:rsidR="00FE21DF" w:rsidRPr="00500856" w:rsidRDefault="00000000">
      <w:pPr>
        <w:spacing w:before="60" w:after="60"/>
        <w:jc w:val="both"/>
        <w:rPr>
          <w:lang w:val="es-CO"/>
        </w:rPr>
      </w:pPr>
      <w:r w:rsidRPr="00500856">
        <w:rPr>
          <w:rFonts w:ascii="Times New Roman" w:hAnsi="Times New Roman"/>
          <w:sz w:val="20"/>
          <w:lang w:val="es-CO"/>
        </w:rPr>
        <w:t>Tamaño: 786.860 registros (393.430 fraudes sintéticos / 393.430 legítimas). SMOTE genera ejemplos intermedios mediante interpolación k-NN (k=5) entre instancias reales de fraude [4]. IQR de amount_log: Q1=9,18 / Q2=12,15 / Q3=14,11 / IQR=4,</w:t>
      </w:r>
      <w:r w:rsidR="00FC63E6" w:rsidRPr="00500856">
        <w:rPr>
          <w:rFonts w:ascii="Times New Roman" w:hAnsi="Times New Roman"/>
          <w:sz w:val="20"/>
          <w:lang w:val="es-CO"/>
        </w:rPr>
        <w:t>93 levemente</w:t>
      </w:r>
      <w:r w:rsidRPr="00500856">
        <w:rPr>
          <w:rFonts w:ascii="Times New Roman" w:hAnsi="Times New Roman"/>
          <w:sz w:val="20"/>
          <w:lang w:val="es-CO"/>
        </w:rPr>
        <w:t xml:space="preserve"> mayor que Oversampling, reflejando la variabilidad sintética. Los histogramas muestran leve ensanchamiento en la zona de solapamiento (amount_log 10–13), donde SMOTE genera puntos intermedios entre fraudes y legítimas. Correlación error_balance_orig con isFraud: r=0,71 (menor que Oversampling, r=0,</w:t>
      </w:r>
      <w:r w:rsidR="00FC63E6" w:rsidRPr="00500856">
        <w:rPr>
          <w:rFonts w:ascii="Times New Roman" w:hAnsi="Times New Roman"/>
          <w:sz w:val="20"/>
          <w:lang w:val="es-CO"/>
        </w:rPr>
        <w:t>76 el</w:t>
      </w:r>
      <w:r w:rsidRPr="00500856">
        <w:rPr>
          <w:rFonts w:ascii="Times New Roman" w:hAnsi="Times New Roman"/>
          <w:sz w:val="20"/>
          <w:lang w:val="es-CO"/>
        </w:rPr>
        <w:t xml:space="preserve"> ruido sintético diluye levemente la señal). Este es el trade-off documentado por [33]: SMOTE mejora la </w:t>
      </w:r>
      <w:r w:rsidR="00FC63E6" w:rsidRPr="00500856">
        <w:rPr>
          <w:rFonts w:ascii="Times New Roman" w:hAnsi="Times New Roman"/>
          <w:sz w:val="20"/>
          <w:lang w:val="es-CO"/>
        </w:rPr>
        <w:t>generalización,</w:t>
      </w:r>
      <w:r w:rsidRPr="00500856">
        <w:rPr>
          <w:rFonts w:ascii="Times New Roman" w:hAnsi="Times New Roman"/>
          <w:sz w:val="20"/>
          <w:lang w:val="es-CO"/>
        </w:rPr>
        <w:t xml:space="preserve"> pero reduce la intensidad de la correlación con la clase minoritaria original.</w:t>
      </w:r>
    </w:p>
    <w:p w14:paraId="2CA4D839" w14:textId="77777777" w:rsidR="00FE21DF" w:rsidRPr="00500856" w:rsidRDefault="00000000">
      <w:pPr>
        <w:spacing w:before="60" w:after="60"/>
        <w:jc w:val="both"/>
        <w:rPr>
          <w:lang w:val="es-CO"/>
        </w:rPr>
      </w:pPr>
      <w:r w:rsidRPr="00500856">
        <w:rPr>
          <w:rFonts w:ascii="Times New Roman" w:hAnsi="Times New Roman"/>
          <w:b/>
          <w:sz w:val="18"/>
          <w:lang w:val="es-CO"/>
        </w:rPr>
        <w:t>Tabla 4. Resumen comparativo EDA por dataset balanceado:</w:t>
      </w:r>
    </w:p>
    <w:tbl>
      <w:tblPr>
        <w:tblStyle w:val="Tablaconcuadrcula"/>
        <w:tblW w:w="0" w:type="auto"/>
        <w:tblLook w:val="04A0" w:firstRow="1" w:lastRow="0" w:firstColumn="1" w:lastColumn="0" w:noHBand="0" w:noVBand="1"/>
      </w:tblPr>
      <w:tblGrid>
        <w:gridCol w:w="1350"/>
        <w:gridCol w:w="1338"/>
        <w:gridCol w:w="1253"/>
        <w:gridCol w:w="958"/>
      </w:tblGrid>
      <w:tr w:rsidR="00FE21DF" w14:paraId="76C4916C" w14:textId="77777777">
        <w:tc>
          <w:tcPr>
            <w:tcW w:w="2521" w:type="dxa"/>
          </w:tcPr>
          <w:p w14:paraId="4B07BB21" w14:textId="77777777" w:rsidR="00FE21DF" w:rsidRDefault="00000000">
            <w:r>
              <w:rPr>
                <w:rFonts w:ascii="Times New Roman" w:hAnsi="Times New Roman"/>
                <w:b/>
                <w:sz w:val="16"/>
              </w:rPr>
              <w:t>Métrica</w:t>
            </w:r>
          </w:p>
        </w:tc>
        <w:tc>
          <w:tcPr>
            <w:tcW w:w="2521" w:type="dxa"/>
          </w:tcPr>
          <w:p w14:paraId="02A2B237" w14:textId="77777777" w:rsidR="00FE21DF" w:rsidRDefault="00000000">
            <w:r>
              <w:rPr>
                <w:rFonts w:ascii="Times New Roman" w:hAnsi="Times New Roman"/>
                <w:b/>
                <w:sz w:val="16"/>
              </w:rPr>
              <w:t>Undersampling</w:t>
            </w:r>
          </w:p>
        </w:tc>
        <w:tc>
          <w:tcPr>
            <w:tcW w:w="2521" w:type="dxa"/>
          </w:tcPr>
          <w:p w14:paraId="369B9790" w14:textId="77777777" w:rsidR="00FE21DF" w:rsidRDefault="00000000">
            <w:r>
              <w:rPr>
                <w:rFonts w:ascii="Times New Roman" w:hAnsi="Times New Roman"/>
                <w:b/>
                <w:sz w:val="16"/>
              </w:rPr>
              <w:t>Oversampling</w:t>
            </w:r>
          </w:p>
        </w:tc>
        <w:tc>
          <w:tcPr>
            <w:tcW w:w="2521" w:type="dxa"/>
          </w:tcPr>
          <w:p w14:paraId="0A122FE8" w14:textId="77777777" w:rsidR="00FE21DF" w:rsidRDefault="00000000">
            <w:r>
              <w:rPr>
                <w:rFonts w:ascii="Times New Roman" w:hAnsi="Times New Roman"/>
                <w:b/>
                <w:sz w:val="16"/>
              </w:rPr>
              <w:t>SMOTE</w:t>
            </w:r>
          </w:p>
        </w:tc>
      </w:tr>
      <w:tr w:rsidR="00FE21DF" w14:paraId="5632DF5F" w14:textId="77777777">
        <w:tc>
          <w:tcPr>
            <w:tcW w:w="2521" w:type="dxa"/>
          </w:tcPr>
          <w:p w14:paraId="6E0BDAA3" w14:textId="77777777" w:rsidR="00FE21DF" w:rsidRDefault="00000000">
            <w:r>
              <w:rPr>
                <w:rFonts w:ascii="Times New Roman" w:hAnsi="Times New Roman"/>
                <w:sz w:val="16"/>
              </w:rPr>
              <w:t>Total registros</w:t>
            </w:r>
          </w:p>
        </w:tc>
        <w:tc>
          <w:tcPr>
            <w:tcW w:w="2521" w:type="dxa"/>
          </w:tcPr>
          <w:p w14:paraId="57CF8989" w14:textId="77777777" w:rsidR="00FE21DF" w:rsidRDefault="00000000">
            <w:r>
              <w:rPr>
                <w:rFonts w:ascii="Times New Roman" w:hAnsi="Times New Roman"/>
                <w:sz w:val="16"/>
              </w:rPr>
              <w:t>13.140</w:t>
            </w:r>
          </w:p>
        </w:tc>
        <w:tc>
          <w:tcPr>
            <w:tcW w:w="2521" w:type="dxa"/>
          </w:tcPr>
          <w:p w14:paraId="4FDC4361" w14:textId="77777777" w:rsidR="00FE21DF" w:rsidRDefault="00000000">
            <w:r>
              <w:rPr>
                <w:rFonts w:ascii="Times New Roman" w:hAnsi="Times New Roman"/>
                <w:sz w:val="16"/>
              </w:rPr>
              <w:t>786.860</w:t>
            </w:r>
          </w:p>
        </w:tc>
        <w:tc>
          <w:tcPr>
            <w:tcW w:w="2521" w:type="dxa"/>
          </w:tcPr>
          <w:p w14:paraId="5011CEAF" w14:textId="77777777" w:rsidR="00FE21DF" w:rsidRDefault="00000000">
            <w:r>
              <w:rPr>
                <w:rFonts w:ascii="Times New Roman" w:hAnsi="Times New Roman"/>
                <w:sz w:val="16"/>
              </w:rPr>
              <w:t>786.860</w:t>
            </w:r>
          </w:p>
        </w:tc>
      </w:tr>
      <w:tr w:rsidR="00FE21DF" w14:paraId="26B348B7" w14:textId="77777777">
        <w:tc>
          <w:tcPr>
            <w:tcW w:w="2521" w:type="dxa"/>
          </w:tcPr>
          <w:p w14:paraId="78B02A82" w14:textId="77777777" w:rsidR="00FE21DF" w:rsidRDefault="00000000">
            <w:r>
              <w:rPr>
                <w:rFonts w:ascii="Times New Roman" w:hAnsi="Times New Roman"/>
                <w:sz w:val="16"/>
              </w:rPr>
              <w:t>Fraudes</w:t>
            </w:r>
          </w:p>
        </w:tc>
        <w:tc>
          <w:tcPr>
            <w:tcW w:w="2521" w:type="dxa"/>
          </w:tcPr>
          <w:p w14:paraId="195BA5C1" w14:textId="77777777" w:rsidR="00FE21DF" w:rsidRDefault="00000000">
            <w:r>
              <w:rPr>
                <w:rFonts w:ascii="Times New Roman" w:hAnsi="Times New Roman"/>
                <w:sz w:val="16"/>
              </w:rPr>
              <w:t>6.570</w:t>
            </w:r>
          </w:p>
        </w:tc>
        <w:tc>
          <w:tcPr>
            <w:tcW w:w="2521" w:type="dxa"/>
          </w:tcPr>
          <w:p w14:paraId="6BF29F93" w14:textId="77777777" w:rsidR="00FE21DF" w:rsidRDefault="00000000">
            <w:r>
              <w:rPr>
                <w:rFonts w:ascii="Times New Roman" w:hAnsi="Times New Roman"/>
                <w:sz w:val="16"/>
              </w:rPr>
              <w:t>393.430</w:t>
            </w:r>
          </w:p>
        </w:tc>
        <w:tc>
          <w:tcPr>
            <w:tcW w:w="2521" w:type="dxa"/>
          </w:tcPr>
          <w:p w14:paraId="55E0A8A9" w14:textId="77777777" w:rsidR="00FE21DF" w:rsidRDefault="00000000">
            <w:r>
              <w:rPr>
                <w:rFonts w:ascii="Times New Roman" w:hAnsi="Times New Roman"/>
                <w:sz w:val="16"/>
              </w:rPr>
              <w:t>393.430</w:t>
            </w:r>
          </w:p>
        </w:tc>
      </w:tr>
      <w:tr w:rsidR="00FE21DF" w14:paraId="3F00413A" w14:textId="77777777">
        <w:tc>
          <w:tcPr>
            <w:tcW w:w="2521" w:type="dxa"/>
          </w:tcPr>
          <w:p w14:paraId="46F96ED8" w14:textId="77777777" w:rsidR="00FE21DF" w:rsidRDefault="00000000">
            <w:r>
              <w:rPr>
                <w:rFonts w:ascii="Times New Roman" w:hAnsi="Times New Roman"/>
                <w:sz w:val="16"/>
              </w:rPr>
              <w:t>% Fraude</w:t>
            </w:r>
          </w:p>
        </w:tc>
        <w:tc>
          <w:tcPr>
            <w:tcW w:w="2521" w:type="dxa"/>
          </w:tcPr>
          <w:p w14:paraId="6A1E308E" w14:textId="77777777" w:rsidR="00FE21DF" w:rsidRDefault="00000000">
            <w:r>
              <w:rPr>
                <w:rFonts w:ascii="Times New Roman" w:hAnsi="Times New Roman"/>
                <w:sz w:val="16"/>
              </w:rPr>
              <w:t>50,0%</w:t>
            </w:r>
          </w:p>
        </w:tc>
        <w:tc>
          <w:tcPr>
            <w:tcW w:w="2521" w:type="dxa"/>
          </w:tcPr>
          <w:p w14:paraId="23399A7E" w14:textId="77777777" w:rsidR="00FE21DF" w:rsidRDefault="00000000">
            <w:r>
              <w:rPr>
                <w:rFonts w:ascii="Times New Roman" w:hAnsi="Times New Roman"/>
                <w:sz w:val="16"/>
              </w:rPr>
              <w:t>50,0%</w:t>
            </w:r>
          </w:p>
        </w:tc>
        <w:tc>
          <w:tcPr>
            <w:tcW w:w="2521" w:type="dxa"/>
          </w:tcPr>
          <w:p w14:paraId="73E8A49E" w14:textId="77777777" w:rsidR="00FE21DF" w:rsidRDefault="00000000">
            <w:r>
              <w:rPr>
                <w:rFonts w:ascii="Times New Roman" w:hAnsi="Times New Roman"/>
                <w:sz w:val="16"/>
              </w:rPr>
              <w:t>50,0%</w:t>
            </w:r>
          </w:p>
        </w:tc>
      </w:tr>
      <w:tr w:rsidR="00FE21DF" w14:paraId="34B428C8" w14:textId="77777777">
        <w:tc>
          <w:tcPr>
            <w:tcW w:w="2521" w:type="dxa"/>
          </w:tcPr>
          <w:p w14:paraId="07D3236B" w14:textId="77777777" w:rsidR="00FE21DF" w:rsidRDefault="00000000">
            <w:r>
              <w:rPr>
                <w:rFonts w:ascii="Times New Roman" w:hAnsi="Times New Roman"/>
                <w:sz w:val="16"/>
              </w:rPr>
              <w:t>IQR amount_log</w:t>
            </w:r>
          </w:p>
        </w:tc>
        <w:tc>
          <w:tcPr>
            <w:tcW w:w="2521" w:type="dxa"/>
          </w:tcPr>
          <w:p w14:paraId="4A026F13" w14:textId="77777777" w:rsidR="00FE21DF" w:rsidRDefault="00000000">
            <w:r>
              <w:rPr>
                <w:rFonts w:ascii="Times New Roman" w:hAnsi="Times New Roman"/>
                <w:sz w:val="16"/>
              </w:rPr>
              <w:t>4,87</w:t>
            </w:r>
          </w:p>
        </w:tc>
        <w:tc>
          <w:tcPr>
            <w:tcW w:w="2521" w:type="dxa"/>
          </w:tcPr>
          <w:p w14:paraId="5A6C1660" w14:textId="77777777" w:rsidR="00FE21DF" w:rsidRDefault="00000000">
            <w:r>
              <w:rPr>
                <w:rFonts w:ascii="Times New Roman" w:hAnsi="Times New Roman"/>
                <w:sz w:val="16"/>
              </w:rPr>
              <w:t>4,87</w:t>
            </w:r>
          </w:p>
        </w:tc>
        <w:tc>
          <w:tcPr>
            <w:tcW w:w="2521" w:type="dxa"/>
          </w:tcPr>
          <w:p w14:paraId="7FA33EFB" w14:textId="77777777" w:rsidR="00FE21DF" w:rsidRDefault="00000000">
            <w:r>
              <w:rPr>
                <w:rFonts w:ascii="Times New Roman" w:hAnsi="Times New Roman"/>
                <w:sz w:val="16"/>
              </w:rPr>
              <w:t>4,93</w:t>
            </w:r>
          </w:p>
        </w:tc>
      </w:tr>
      <w:tr w:rsidR="00FE21DF" w14:paraId="6257E812" w14:textId="77777777">
        <w:tc>
          <w:tcPr>
            <w:tcW w:w="2521" w:type="dxa"/>
          </w:tcPr>
          <w:p w14:paraId="7E8D5566" w14:textId="77777777" w:rsidR="00FE21DF" w:rsidRPr="00500856" w:rsidRDefault="00000000">
            <w:pPr>
              <w:rPr>
                <w:lang w:val="es-CO"/>
              </w:rPr>
            </w:pPr>
            <w:r w:rsidRPr="00500856">
              <w:rPr>
                <w:rFonts w:ascii="Times New Roman" w:hAnsi="Times New Roman"/>
                <w:sz w:val="16"/>
                <w:lang w:val="es-CO"/>
              </w:rPr>
              <w:t>r(error_bal_orig, isFraud)</w:t>
            </w:r>
          </w:p>
        </w:tc>
        <w:tc>
          <w:tcPr>
            <w:tcW w:w="2521" w:type="dxa"/>
          </w:tcPr>
          <w:p w14:paraId="0F12149B" w14:textId="77777777" w:rsidR="00FE21DF" w:rsidRDefault="00000000">
            <w:r>
              <w:rPr>
                <w:rFonts w:ascii="Times New Roman" w:hAnsi="Times New Roman"/>
                <w:sz w:val="16"/>
              </w:rPr>
              <w:t>0,78</w:t>
            </w:r>
          </w:p>
        </w:tc>
        <w:tc>
          <w:tcPr>
            <w:tcW w:w="2521" w:type="dxa"/>
          </w:tcPr>
          <w:p w14:paraId="43AD3D2C" w14:textId="77777777" w:rsidR="00FE21DF" w:rsidRDefault="00000000">
            <w:r>
              <w:rPr>
                <w:rFonts w:ascii="Times New Roman" w:hAnsi="Times New Roman"/>
                <w:sz w:val="16"/>
              </w:rPr>
              <w:t>0,76</w:t>
            </w:r>
          </w:p>
        </w:tc>
        <w:tc>
          <w:tcPr>
            <w:tcW w:w="2521" w:type="dxa"/>
          </w:tcPr>
          <w:p w14:paraId="6810AA08" w14:textId="77777777" w:rsidR="00FE21DF" w:rsidRDefault="00000000">
            <w:r>
              <w:rPr>
                <w:rFonts w:ascii="Times New Roman" w:hAnsi="Times New Roman"/>
                <w:sz w:val="16"/>
              </w:rPr>
              <w:t>0,71</w:t>
            </w:r>
          </w:p>
        </w:tc>
      </w:tr>
      <w:tr w:rsidR="00FE21DF" w14:paraId="0056B5F4" w14:textId="77777777">
        <w:tc>
          <w:tcPr>
            <w:tcW w:w="2521" w:type="dxa"/>
          </w:tcPr>
          <w:p w14:paraId="616EDB58" w14:textId="77777777" w:rsidR="00FE21DF" w:rsidRDefault="00000000">
            <w:r>
              <w:rPr>
                <w:rFonts w:ascii="Times New Roman" w:hAnsi="Times New Roman"/>
                <w:sz w:val="16"/>
              </w:rPr>
              <w:t xml:space="preserve">Solapamiento </w:t>
            </w:r>
            <w:r>
              <w:rPr>
                <w:rFonts w:ascii="Times New Roman" w:hAnsi="Times New Roman"/>
                <w:sz w:val="16"/>
              </w:rPr>
              <w:lastRenderedPageBreak/>
              <w:t>histogramas</w:t>
            </w:r>
          </w:p>
        </w:tc>
        <w:tc>
          <w:tcPr>
            <w:tcW w:w="2521" w:type="dxa"/>
          </w:tcPr>
          <w:p w14:paraId="74E1B2E1" w14:textId="3F53F5F9" w:rsidR="00FE21DF" w:rsidRDefault="00FC63E6">
            <w:r>
              <w:rPr>
                <w:rFonts w:ascii="Times New Roman" w:hAnsi="Times New Roman"/>
                <w:sz w:val="16"/>
              </w:rPr>
              <w:lastRenderedPageBreak/>
              <w:t>Moderado</w:t>
            </w:r>
          </w:p>
        </w:tc>
        <w:tc>
          <w:tcPr>
            <w:tcW w:w="2521" w:type="dxa"/>
          </w:tcPr>
          <w:p w14:paraId="119861DE" w14:textId="42C0A86C" w:rsidR="00FE21DF" w:rsidRDefault="00FC63E6">
            <w:r>
              <w:rPr>
                <w:rFonts w:ascii="Times New Roman" w:hAnsi="Times New Roman"/>
                <w:sz w:val="16"/>
              </w:rPr>
              <w:t>Moderado</w:t>
            </w:r>
          </w:p>
        </w:tc>
        <w:tc>
          <w:tcPr>
            <w:tcW w:w="2521" w:type="dxa"/>
          </w:tcPr>
          <w:p w14:paraId="1DEF4C81" w14:textId="008A3A7A" w:rsidR="00FE21DF" w:rsidRDefault="00FC63E6">
            <w:r>
              <w:rPr>
                <w:rFonts w:ascii="Times New Roman" w:hAnsi="Times New Roman"/>
                <w:sz w:val="16"/>
              </w:rPr>
              <w:t>Moderado</w:t>
            </w:r>
            <w:r>
              <w:rPr>
                <w:rFonts w:ascii="Times New Roman" w:hAnsi="Times New Roman"/>
                <w:sz w:val="16"/>
              </w:rPr>
              <w:t xml:space="preserve"> </w:t>
            </w:r>
          </w:p>
        </w:tc>
      </w:tr>
      <w:tr w:rsidR="00FE21DF" w14:paraId="2781F111" w14:textId="77777777">
        <w:tc>
          <w:tcPr>
            <w:tcW w:w="2521" w:type="dxa"/>
          </w:tcPr>
          <w:p w14:paraId="198EF0E3" w14:textId="77777777" w:rsidR="00FE21DF" w:rsidRDefault="00000000">
            <w:r>
              <w:rPr>
                <w:rFonts w:ascii="Times New Roman" w:hAnsi="Times New Roman"/>
                <w:sz w:val="16"/>
              </w:rPr>
              <w:lastRenderedPageBreak/>
              <w:t>Riesgo principal</w:t>
            </w:r>
          </w:p>
        </w:tc>
        <w:tc>
          <w:tcPr>
            <w:tcW w:w="2521" w:type="dxa"/>
          </w:tcPr>
          <w:p w14:paraId="1BBC047E" w14:textId="77777777" w:rsidR="00FE21DF" w:rsidRDefault="00000000">
            <w:r>
              <w:rPr>
                <w:rFonts w:ascii="Times New Roman" w:hAnsi="Times New Roman"/>
                <w:sz w:val="16"/>
              </w:rPr>
              <w:t>Underfitting</w:t>
            </w:r>
          </w:p>
        </w:tc>
        <w:tc>
          <w:tcPr>
            <w:tcW w:w="2521" w:type="dxa"/>
          </w:tcPr>
          <w:p w14:paraId="17051752" w14:textId="77777777" w:rsidR="00FE21DF" w:rsidRDefault="00000000">
            <w:r>
              <w:rPr>
                <w:rFonts w:ascii="Times New Roman" w:hAnsi="Times New Roman"/>
                <w:sz w:val="16"/>
              </w:rPr>
              <w:t>Overfitting</w:t>
            </w:r>
          </w:p>
        </w:tc>
        <w:tc>
          <w:tcPr>
            <w:tcW w:w="2521" w:type="dxa"/>
          </w:tcPr>
          <w:p w14:paraId="395C5DA9" w14:textId="77777777" w:rsidR="00FE21DF" w:rsidRDefault="00000000">
            <w:r>
              <w:rPr>
                <w:rFonts w:ascii="Times New Roman" w:hAnsi="Times New Roman"/>
                <w:sz w:val="16"/>
              </w:rPr>
              <w:t>Ruido k-NN</w:t>
            </w:r>
          </w:p>
        </w:tc>
      </w:tr>
    </w:tbl>
    <w:p w14:paraId="3F09D665" w14:textId="77777777" w:rsidR="00FE21DF" w:rsidRDefault="00000000">
      <w:pPr>
        <w:jc w:val="center"/>
      </w:pPr>
      <w:r w:rsidRPr="00500856">
        <w:rPr>
          <w:rFonts w:ascii="Times New Roman" w:hAnsi="Times New Roman"/>
          <w:i/>
          <w:sz w:val="16"/>
          <w:lang w:val="es-CO"/>
        </w:rPr>
        <w:t xml:space="preserve">Tabla 4. Comparación EDA por técnica de balanceo. </w:t>
      </w:r>
      <w:r>
        <w:rPr>
          <w:rFonts w:ascii="Times New Roman" w:hAnsi="Times New Roman"/>
          <w:i/>
          <w:sz w:val="16"/>
        </w:rPr>
        <w:t>Fuentes: [4], [15], [33].</w:t>
      </w:r>
    </w:p>
    <w:p w14:paraId="7772A386" w14:textId="77777777" w:rsidR="00FE21DF" w:rsidRDefault="00000000">
      <w:pPr>
        <w:jc w:val="center"/>
      </w:pPr>
      <w:r>
        <w:rPr>
          <w:noProof/>
        </w:rPr>
        <w:drawing>
          <wp:inline distT="0" distB="0" distL="0" distR="0" wp14:anchorId="75D0C22A" wp14:editId="64B5B367">
            <wp:extent cx="2700000" cy="14285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eda_balanceado.png"/>
                    <pic:cNvPicPr/>
                  </pic:nvPicPr>
                  <pic:blipFill>
                    <a:blip r:embed="rId11"/>
                    <a:stretch>
                      <a:fillRect/>
                    </a:stretch>
                  </pic:blipFill>
                  <pic:spPr>
                    <a:xfrm>
                      <a:off x="0" y="0"/>
                      <a:ext cx="2700000" cy="1428523"/>
                    </a:xfrm>
                    <a:prstGeom prst="rect">
                      <a:avLst/>
                    </a:prstGeom>
                  </pic:spPr>
                </pic:pic>
              </a:graphicData>
            </a:graphic>
          </wp:inline>
        </w:drawing>
      </w:r>
    </w:p>
    <w:p w14:paraId="03F84CC9" w14:textId="77777777" w:rsidR="00FE21DF" w:rsidRPr="00500856" w:rsidRDefault="00000000">
      <w:pPr>
        <w:spacing w:after="120"/>
        <w:jc w:val="center"/>
        <w:rPr>
          <w:lang w:val="es-CO"/>
        </w:rPr>
      </w:pPr>
      <w:r w:rsidRPr="00500856">
        <w:rPr>
          <w:rFonts w:ascii="Times New Roman" w:hAnsi="Times New Roman"/>
          <w:i/>
          <w:sz w:val="17"/>
          <w:lang w:val="es-CO"/>
        </w:rPr>
        <w:t>Figura 6. Distribución de clases e histograma amount_log por técnica de balanceo. SMOTE introduce leve variabilidad sintética; Undersampling preserva distribución original con mayor varianza. Elaboración propia con dataset PaySim [17].</w:t>
      </w:r>
    </w:p>
    <w:p w14:paraId="67A66D4B" w14:textId="77777777" w:rsidR="00FE21DF" w:rsidRPr="00500856" w:rsidRDefault="00000000">
      <w:pPr>
        <w:pStyle w:val="Ttulo1"/>
        <w:rPr>
          <w:lang w:val="es-CO"/>
        </w:rPr>
      </w:pPr>
      <w:r w:rsidRPr="00500856">
        <w:rPr>
          <w:rFonts w:ascii="Times New Roman" w:hAnsi="Times New Roman"/>
          <w:sz w:val="24"/>
          <w:lang w:val="es-CO"/>
        </w:rPr>
        <w:t>4. MODELADO</w:t>
      </w:r>
    </w:p>
    <w:p w14:paraId="76BBD1E0" w14:textId="77777777" w:rsidR="00FE21DF" w:rsidRPr="00500856" w:rsidRDefault="00000000">
      <w:pPr>
        <w:pStyle w:val="Ttulo2"/>
        <w:rPr>
          <w:lang w:val="es-CO"/>
        </w:rPr>
      </w:pPr>
      <w:r w:rsidRPr="00500856">
        <w:rPr>
          <w:rFonts w:ascii="Times New Roman" w:hAnsi="Times New Roman"/>
          <w:sz w:val="22"/>
          <w:lang w:val="es-CO"/>
        </w:rPr>
        <w:t>4.1. Regresión Logística</w:t>
      </w:r>
    </w:p>
    <w:p w14:paraId="1E6F7357" w14:textId="77777777" w:rsidR="00FE21DF" w:rsidRPr="00500856" w:rsidRDefault="00000000">
      <w:pPr>
        <w:spacing w:before="60" w:after="60"/>
        <w:jc w:val="both"/>
        <w:rPr>
          <w:lang w:val="es-CO"/>
        </w:rPr>
      </w:pPr>
      <w:r w:rsidRPr="00500856">
        <w:rPr>
          <w:rFonts w:ascii="Times New Roman" w:hAnsi="Times New Roman"/>
          <w:sz w:val="20"/>
          <w:lang w:val="es-CO"/>
        </w:rPr>
        <w:t>La Regresión Logística es el estándar de referencia en sectores regulados por su interpretabilidad ante auditores y organismos regulatorios [34]. Se entrenó con class_weight='balanced' (penaliza la clase minoritaria inversamente proporcional a su frecuencia) y max_iter=1000. La calibración del umbral es crítica (Bayes Minimum Risk Classifier [35]): threshold=0,2 maximiza Recall con muchos FP; threshold=0,78 maximiza Precision con muchos FN; threshold=0,5 es el punto de equilibrio teórico pero subóptimo para datos desbalanceados [18].</w:t>
      </w:r>
    </w:p>
    <w:p w14:paraId="34A898EA" w14:textId="77777777" w:rsidR="00FE21DF" w:rsidRPr="00500856" w:rsidRDefault="00000000">
      <w:pPr>
        <w:pStyle w:val="Ttulo2"/>
        <w:rPr>
          <w:lang w:val="es-CO"/>
        </w:rPr>
      </w:pPr>
      <w:r w:rsidRPr="00500856">
        <w:rPr>
          <w:rFonts w:ascii="Times New Roman" w:hAnsi="Times New Roman"/>
          <w:sz w:val="22"/>
          <w:lang w:val="es-CO"/>
        </w:rPr>
        <w:t>4.2. Random Forest</w:t>
      </w:r>
    </w:p>
    <w:p w14:paraId="42FF0759" w14:textId="0FC9AF02" w:rsidR="00FE21DF" w:rsidRPr="00FC63E6" w:rsidRDefault="00000000">
      <w:pPr>
        <w:spacing w:before="60" w:after="60"/>
        <w:jc w:val="both"/>
        <w:rPr>
          <w:rFonts w:ascii="Times New Roman" w:hAnsi="Times New Roman"/>
          <w:sz w:val="20"/>
          <w:lang w:val="es-CO"/>
        </w:rPr>
      </w:pPr>
      <w:r w:rsidRPr="00500856">
        <w:rPr>
          <w:rFonts w:ascii="Times New Roman" w:hAnsi="Times New Roman"/>
          <w:sz w:val="20"/>
          <w:lang w:val="es-CO"/>
        </w:rPr>
        <w:t>Random Forest es un ensamble de árboles de decisión independientes entrenados mediante Bagging [5], con inmunidad al overfitting en datos ruidosos. Los hiperparámetros utilizados: n_estimators</w:t>
      </w:r>
      <w:r w:rsidR="00FC63E6">
        <w:rPr>
          <w:rFonts w:ascii="Times New Roman" w:hAnsi="Times New Roman"/>
          <w:sz w:val="20"/>
          <w:lang w:val="es-CO"/>
        </w:rPr>
        <w:t xml:space="preserve">= </w:t>
      </w:r>
      <w:r w:rsidRPr="00500856">
        <w:rPr>
          <w:rFonts w:ascii="Times New Roman" w:hAnsi="Times New Roman"/>
          <w:sz w:val="20"/>
          <w:lang w:val="es-CO"/>
        </w:rPr>
        <w:t>100, 500, class_weight='balanced', bootstrap=True y max_features='sqrt' (evita dominancia de amount [36]). La convergencia del ensamble se alcanza típicamente antes de n=500 [37], confirmado en los resultados.</w:t>
      </w:r>
    </w:p>
    <w:p w14:paraId="4CC9BFF7" w14:textId="2CFC667B" w:rsidR="00FE21DF" w:rsidRPr="00500856" w:rsidRDefault="00000000">
      <w:pPr>
        <w:pStyle w:val="Ttulo2"/>
        <w:rPr>
          <w:lang w:val="es-CO"/>
        </w:rPr>
      </w:pPr>
      <w:r w:rsidRPr="00500856">
        <w:rPr>
          <w:rFonts w:ascii="Times New Roman" w:hAnsi="Times New Roman"/>
          <w:sz w:val="22"/>
          <w:lang w:val="es-CO"/>
        </w:rPr>
        <w:t xml:space="preserve">4.3. </w:t>
      </w:r>
      <w:r w:rsidR="00FC63E6" w:rsidRPr="00500856">
        <w:rPr>
          <w:rFonts w:ascii="Times New Roman" w:hAnsi="Times New Roman"/>
          <w:sz w:val="22"/>
          <w:lang w:val="es-CO"/>
        </w:rPr>
        <w:t>CatBoost Justificación</w:t>
      </w:r>
      <w:r w:rsidRPr="00500856">
        <w:rPr>
          <w:rFonts w:ascii="Times New Roman" w:hAnsi="Times New Roman"/>
          <w:sz w:val="22"/>
          <w:lang w:val="es-CO"/>
        </w:rPr>
        <w:t xml:space="preserve"> de Hiperparámetros</w:t>
      </w:r>
    </w:p>
    <w:p w14:paraId="72D65060" w14:textId="7D707DEE" w:rsidR="00FE21DF" w:rsidRPr="00500856" w:rsidRDefault="00000000">
      <w:pPr>
        <w:spacing w:before="60" w:after="60"/>
        <w:jc w:val="both"/>
        <w:rPr>
          <w:lang w:val="es-CO"/>
        </w:rPr>
      </w:pPr>
      <w:r w:rsidRPr="00500856">
        <w:rPr>
          <w:rFonts w:ascii="Times New Roman" w:hAnsi="Times New Roman"/>
          <w:sz w:val="20"/>
          <w:lang w:val="es-CO"/>
        </w:rPr>
        <w:t xml:space="preserve">CatBoost [6] implementa Gradient Boosting con manejo nativo de variables categóricas (Ordered Target </w:t>
      </w:r>
      <w:r w:rsidR="00FC63E6" w:rsidRPr="00500856">
        <w:rPr>
          <w:rFonts w:ascii="Times New Roman" w:hAnsi="Times New Roman"/>
          <w:sz w:val="20"/>
          <w:lang w:val="es-CO"/>
        </w:rPr>
        <w:t>Encoding previene</w:t>
      </w:r>
      <w:r w:rsidRPr="00500856">
        <w:rPr>
          <w:rFonts w:ascii="Times New Roman" w:hAnsi="Times New Roman"/>
          <w:sz w:val="20"/>
          <w:lang w:val="es-CO"/>
        </w:rPr>
        <w:t xml:space="preserve"> target leakage) y Oblivious Trees para inferencia </w:t>
      </w:r>
      <w:r w:rsidRPr="00500856">
        <w:rPr>
          <w:rFonts w:ascii="Times New Roman" w:hAnsi="Times New Roman"/>
          <w:sz w:val="20"/>
          <w:lang w:val="es-CO"/>
        </w:rPr>
        <w:t>de baja latencia, crítica en sistemas de detección en tiempo real. Los hiperparámetros se seleccionaron con base en estudios previos que resolvieron el mismo problema:</w:t>
      </w:r>
    </w:p>
    <w:p w14:paraId="22D6776D" w14:textId="4111D260" w:rsidR="00FE21DF" w:rsidRPr="00500856" w:rsidRDefault="00000000">
      <w:pPr>
        <w:spacing w:before="60" w:after="60"/>
        <w:jc w:val="both"/>
        <w:rPr>
          <w:lang w:val="es-CO"/>
        </w:rPr>
      </w:pPr>
      <w:r w:rsidRPr="00500856">
        <w:rPr>
          <w:rFonts w:ascii="Times New Roman" w:hAnsi="Times New Roman"/>
          <w:sz w:val="18"/>
          <w:lang w:val="es-CO"/>
        </w:rPr>
        <w:t>• iterations=300: balance capacidad/tiempo en datos financieros desbalanceados [38][39].</w:t>
      </w:r>
      <w:r w:rsidRPr="00500856">
        <w:rPr>
          <w:rFonts w:ascii="Times New Roman" w:hAnsi="Times New Roman"/>
          <w:sz w:val="18"/>
          <w:lang w:val="es-CO"/>
        </w:rPr>
        <w:br/>
        <w:t>• learning_rate=0,05: tasa conservadora que evita sobreajuste en GBDT secuencial [40].</w:t>
      </w:r>
      <w:r w:rsidRPr="00500856">
        <w:rPr>
          <w:rFonts w:ascii="Times New Roman" w:hAnsi="Times New Roman"/>
          <w:sz w:val="18"/>
          <w:lang w:val="es-CO"/>
        </w:rPr>
        <w:br/>
        <w:t>• depth=6: profundidad óptima para datos financieros desbalanceados  AUC 0,9837 reportado [41].</w:t>
      </w:r>
      <w:r w:rsidRPr="00500856">
        <w:rPr>
          <w:rFonts w:ascii="Times New Roman" w:hAnsi="Times New Roman"/>
          <w:sz w:val="18"/>
          <w:lang w:val="es-CO"/>
        </w:rPr>
        <w:br/>
        <w:t>• eval_metric='F1': métrica correcta para clases desbalanceadas, evita Accuracy Paradox [28].</w:t>
      </w:r>
      <w:r w:rsidRPr="00500856">
        <w:rPr>
          <w:rFonts w:ascii="Times New Roman" w:hAnsi="Times New Roman"/>
          <w:sz w:val="18"/>
          <w:lang w:val="es-CO"/>
        </w:rPr>
        <w:br/>
        <w:t>• Sin scale_pos_weight (datasets SMOTE/Over): SMOTE y scale_pos_weight son estrategias alternativas  aplicar ambas genera doble penalización (IJSDR2401084; ResearchGate 349156860).</w:t>
      </w:r>
    </w:p>
    <w:p w14:paraId="18B05084" w14:textId="0423FD7A" w:rsidR="00FE21DF" w:rsidRPr="00500856" w:rsidRDefault="00000000">
      <w:pPr>
        <w:pStyle w:val="Ttulo2"/>
        <w:rPr>
          <w:lang w:val="es-CO"/>
        </w:rPr>
      </w:pPr>
      <w:r w:rsidRPr="00500856">
        <w:rPr>
          <w:rFonts w:ascii="Times New Roman" w:hAnsi="Times New Roman"/>
          <w:sz w:val="22"/>
          <w:lang w:val="es-CO"/>
        </w:rPr>
        <w:t xml:space="preserve">4.4. Curvas </w:t>
      </w:r>
      <w:r w:rsidR="00FC63E6" w:rsidRPr="00500856">
        <w:rPr>
          <w:rFonts w:ascii="Times New Roman" w:hAnsi="Times New Roman"/>
          <w:sz w:val="22"/>
          <w:lang w:val="es-CO"/>
        </w:rPr>
        <w:t>ROC Comparativa</w:t>
      </w:r>
      <w:r w:rsidRPr="00500856">
        <w:rPr>
          <w:rFonts w:ascii="Times New Roman" w:hAnsi="Times New Roman"/>
          <w:sz w:val="22"/>
          <w:lang w:val="es-CO"/>
        </w:rPr>
        <w:t xml:space="preserve"> de Modelos</w:t>
      </w:r>
    </w:p>
    <w:p w14:paraId="3F0D891B" w14:textId="73BFDB0E" w:rsidR="00FE21DF" w:rsidRPr="00500856" w:rsidRDefault="00000000">
      <w:pPr>
        <w:spacing w:before="60" w:after="60"/>
        <w:jc w:val="both"/>
        <w:rPr>
          <w:lang w:val="es-CO"/>
        </w:rPr>
      </w:pPr>
      <w:r w:rsidRPr="00500856">
        <w:rPr>
          <w:rFonts w:ascii="Times New Roman" w:hAnsi="Times New Roman"/>
          <w:sz w:val="20"/>
          <w:lang w:val="es-CO"/>
        </w:rPr>
        <w:t>Las curvas ROC de los tres modelos confirman que Random Forest y CatBoost alcanzan AUC &gt; 0,99, significativamente por encima de la Regresión Logística (AUC ≈ 0,93). La curva Precision-Recall, más informativa en clases desbalanceadas [42], muestra que ambos modelos no-lineales mantienen Precision &gt; 0,85 para Recall &gt; 0,80, confirmando su superioridad para el problema de detección de fraude en PaySim.</w:t>
      </w:r>
    </w:p>
    <w:p w14:paraId="0551B0A5" w14:textId="77777777" w:rsidR="00FE21DF" w:rsidRDefault="00000000">
      <w:pPr>
        <w:jc w:val="center"/>
      </w:pPr>
      <w:r>
        <w:rPr>
          <w:noProof/>
        </w:rPr>
        <w:drawing>
          <wp:inline distT="0" distB="0" distL="0" distR="0" wp14:anchorId="29B050DC" wp14:editId="6C1AC49D">
            <wp:extent cx="2700000" cy="20926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urvas_roc.png"/>
                    <pic:cNvPicPr/>
                  </pic:nvPicPr>
                  <pic:blipFill>
                    <a:blip r:embed="rId12"/>
                    <a:stretch>
                      <a:fillRect/>
                    </a:stretch>
                  </pic:blipFill>
                  <pic:spPr>
                    <a:xfrm>
                      <a:off x="0" y="0"/>
                      <a:ext cx="2700000" cy="2092690"/>
                    </a:xfrm>
                    <a:prstGeom prst="rect">
                      <a:avLst/>
                    </a:prstGeom>
                  </pic:spPr>
                </pic:pic>
              </a:graphicData>
            </a:graphic>
          </wp:inline>
        </w:drawing>
      </w:r>
    </w:p>
    <w:p w14:paraId="29F269A2" w14:textId="77777777" w:rsidR="00FE21DF" w:rsidRPr="00500856" w:rsidRDefault="00000000">
      <w:pPr>
        <w:spacing w:after="120"/>
        <w:jc w:val="center"/>
        <w:rPr>
          <w:lang w:val="es-CO"/>
        </w:rPr>
      </w:pPr>
      <w:r w:rsidRPr="00500856">
        <w:rPr>
          <w:rFonts w:ascii="Times New Roman" w:hAnsi="Times New Roman"/>
          <w:i/>
          <w:sz w:val="17"/>
          <w:lang w:val="es-CO"/>
        </w:rPr>
        <w:t>Figura 7. Curvas ROC comparativas: Regresión Logística, Random Forest y CatBoost sobre los tres datasets balanceados. AUC calculado sobre X_test fijo (20% estratificado). Elaboración propia con dataset PaySim [17].</w:t>
      </w:r>
    </w:p>
    <w:p w14:paraId="53CB2E76" w14:textId="5EA2869B" w:rsidR="00FE21DF" w:rsidRPr="00500856" w:rsidRDefault="00000000">
      <w:pPr>
        <w:pStyle w:val="Ttulo1"/>
        <w:rPr>
          <w:lang w:val="es-CO"/>
        </w:rPr>
      </w:pPr>
      <w:r w:rsidRPr="00500856">
        <w:rPr>
          <w:rFonts w:ascii="Times New Roman" w:hAnsi="Times New Roman"/>
          <w:sz w:val="24"/>
          <w:lang w:val="es-CO"/>
        </w:rPr>
        <w:lastRenderedPageBreak/>
        <w:t xml:space="preserve">5. </w:t>
      </w:r>
      <w:r w:rsidR="00FC63E6" w:rsidRPr="00500856">
        <w:rPr>
          <w:rFonts w:ascii="Times New Roman" w:hAnsi="Times New Roman"/>
          <w:sz w:val="24"/>
          <w:lang w:val="es-CO"/>
        </w:rPr>
        <w:t>EVALUACIÓN KPI</w:t>
      </w:r>
      <w:r w:rsidR="00FC63E6">
        <w:rPr>
          <w:rFonts w:ascii="Times New Roman" w:hAnsi="Times New Roman"/>
          <w:sz w:val="24"/>
          <w:lang w:val="es-CO"/>
        </w:rPr>
        <w:t xml:space="preserve">: </w:t>
      </w:r>
      <w:r w:rsidRPr="00500856">
        <w:rPr>
          <w:rFonts w:ascii="Times New Roman" w:hAnsi="Times New Roman"/>
          <w:sz w:val="24"/>
          <w:lang w:val="es-CO"/>
        </w:rPr>
        <w:t>GANANCIA NETA</w:t>
      </w:r>
    </w:p>
    <w:p w14:paraId="34C25111" w14:textId="77777777" w:rsidR="00FE21DF" w:rsidRPr="00500856" w:rsidRDefault="00000000">
      <w:pPr>
        <w:pStyle w:val="Ttulo2"/>
        <w:rPr>
          <w:lang w:val="es-CO"/>
        </w:rPr>
      </w:pPr>
      <w:r w:rsidRPr="00500856">
        <w:rPr>
          <w:rFonts w:ascii="Times New Roman" w:hAnsi="Times New Roman"/>
          <w:sz w:val="22"/>
          <w:lang w:val="es-CO"/>
        </w:rPr>
        <w:t>5.1. Definición del KPI</w:t>
      </w:r>
    </w:p>
    <w:p w14:paraId="1DACB7BE" w14:textId="77777777" w:rsidR="00FE21DF" w:rsidRPr="00500856" w:rsidRDefault="00000000">
      <w:pPr>
        <w:spacing w:before="60" w:after="60"/>
        <w:jc w:val="both"/>
        <w:rPr>
          <w:lang w:val="es-CO"/>
        </w:rPr>
      </w:pPr>
      <w:r w:rsidRPr="00500856">
        <w:rPr>
          <w:rFonts w:ascii="Times New Roman" w:hAnsi="Times New Roman"/>
          <w:sz w:val="20"/>
          <w:lang w:val="es-CO"/>
        </w:rPr>
        <w:t>La Ganancia Neta (GN) es el KPI central, basado en Aprendizaje Sensible al Costo (Cost-Sensitive Learning [7][30]):</w:t>
      </w:r>
    </w:p>
    <w:p w14:paraId="0611C134" w14:textId="77777777" w:rsidR="00FE21DF" w:rsidRPr="00500856" w:rsidRDefault="00000000">
      <w:pPr>
        <w:spacing w:before="60" w:after="60"/>
        <w:jc w:val="center"/>
        <w:rPr>
          <w:lang w:val="es-CO"/>
        </w:rPr>
      </w:pPr>
      <w:r w:rsidRPr="00500856">
        <w:rPr>
          <w:rFonts w:ascii="Times New Roman" w:hAnsi="Times New Roman"/>
          <w:b/>
          <w:sz w:val="20"/>
          <w:lang w:val="es-CO"/>
        </w:rPr>
        <w:t xml:space="preserve">        GN = (TP × $100) − (FP × $33)</w:t>
      </w:r>
    </w:p>
    <w:p w14:paraId="722D9ECF" w14:textId="77777777" w:rsidR="00FE21DF" w:rsidRPr="00500856" w:rsidRDefault="00000000">
      <w:pPr>
        <w:spacing w:before="60" w:after="60"/>
        <w:jc w:val="both"/>
        <w:rPr>
          <w:lang w:val="es-CO"/>
        </w:rPr>
      </w:pPr>
      <w:r w:rsidRPr="00500856">
        <w:rPr>
          <w:rFonts w:ascii="Times New Roman" w:hAnsi="Times New Roman"/>
          <w:sz w:val="20"/>
          <w:lang w:val="es-CO"/>
        </w:rPr>
        <w:t>donde $I = $100 representa el ingreso por cada fraude correctamente detectado (costo evitado + cumplimiento SARLAFT) y $C = $33 representa el costo por cliente legítimo bloqueado (compensación + atención + pérdida de confianza). La ratio $I/$C = 3,03 implica que tres falsos positivos eliminan el beneficio de un verdadero positivo, justificando la selección de threshold alto [30].</w:t>
      </w:r>
    </w:p>
    <w:p w14:paraId="5B3270DF" w14:textId="06D08726" w:rsidR="00FE21DF" w:rsidRPr="00500856" w:rsidRDefault="00000000">
      <w:pPr>
        <w:pStyle w:val="Ttulo2"/>
        <w:rPr>
          <w:lang w:val="es-CO"/>
        </w:rPr>
      </w:pPr>
      <w:r w:rsidRPr="00500856">
        <w:rPr>
          <w:rFonts w:ascii="Times New Roman" w:hAnsi="Times New Roman"/>
          <w:sz w:val="22"/>
          <w:lang w:val="es-CO"/>
        </w:rPr>
        <w:t xml:space="preserve">5.2. </w:t>
      </w:r>
      <w:r w:rsidR="004B413B" w:rsidRPr="00500856">
        <w:rPr>
          <w:rFonts w:ascii="Times New Roman" w:hAnsi="Times New Roman"/>
          <w:sz w:val="22"/>
          <w:lang w:val="es-CO"/>
        </w:rPr>
        <w:t>Resultados Modelo</w:t>
      </w:r>
      <w:r w:rsidRPr="00500856">
        <w:rPr>
          <w:rFonts w:ascii="Times New Roman" w:hAnsi="Times New Roman"/>
          <w:sz w:val="22"/>
          <w:lang w:val="es-CO"/>
        </w:rPr>
        <w:t xml:space="preserve"> Ganador</w:t>
      </w:r>
    </w:p>
    <w:p w14:paraId="3920F6A6" w14:textId="77777777" w:rsidR="00FE21DF" w:rsidRPr="00500856" w:rsidRDefault="00000000">
      <w:pPr>
        <w:spacing w:before="60" w:after="60"/>
        <w:jc w:val="both"/>
        <w:rPr>
          <w:lang w:val="es-CO"/>
        </w:rPr>
      </w:pPr>
      <w:r w:rsidRPr="00500856">
        <w:rPr>
          <w:rFonts w:ascii="Times New Roman" w:hAnsi="Times New Roman"/>
          <w:sz w:val="20"/>
          <w:lang w:val="es-CO"/>
        </w:rPr>
        <w:t>Se evaluaron 27 configuraciones (3 modelos × 3 datasets × 3 thresholds más variantes RF n=100/n=500). La Figura 8 muestra el Top 15 de configuraciones por GN. La configuración óptima fue:</w:t>
      </w:r>
    </w:p>
    <w:p w14:paraId="40A31DC3" w14:textId="77777777" w:rsidR="00FE21DF" w:rsidRDefault="00000000">
      <w:pPr>
        <w:spacing w:before="60" w:after="60"/>
        <w:jc w:val="center"/>
      </w:pPr>
      <w:r>
        <w:rPr>
          <w:rFonts w:ascii="Times New Roman" w:hAnsi="Times New Roman"/>
          <w:b/>
          <w:sz w:val="20"/>
        </w:rPr>
        <w:t>Random Forest (n=100) + Oversampling + threshold=0,5 → GN = $164.000</w:t>
      </w:r>
    </w:p>
    <w:p w14:paraId="4CB9AB6A" w14:textId="77777777" w:rsidR="00FE21DF" w:rsidRPr="00500856" w:rsidRDefault="00000000">
      <w:pPr>
        <w:spacing w:before="60" w:after="60"/>
        <w:jc w:val="both"/>
        <w:rPr>
          <w:lang w:val="es-CO"/>
        </w:rPr>
      </w:pPr>
      <w:r w:rsidRPr="00500856">
        <w:rPr>
          <w:rFonts w:ascii="Times New Roman" w:hAnsi="Times New Roman"/>
          <w:sz w:val="20"/>
          <w:lang w:val="es-CO"/>
        </w:rPr>
        <w:t>Con Oversampling, el modelo RF(100) accede a todos los datos originales de fraude replicados hasta igualar la clase mayoritaria, aprendiendo límites de decisión más ricos. Threshold=0,5 resultó óptimo porque la función de costo $I/$C = 3,03 [7] hace que detectar un fraude (TP×$100) sea 3 veces más valioso que el costo de un FP ($33), y el modelo alcanza FP=0 en este umbral, maximizando la GN. Desde la perspectiva legal, FP=0 elimina el riesgo de acciones de tutela por bloqueo indebido (Art. 15 CN, Sentencia T-255/22 [11] [11]).</w:t>
      </w:r>
    </w:p>
    <w:p w14:paraId="09F1D8BA" w14:textId="595E4AA0" w:rsidR="00FE21DF" w:rsidRDefault="00000000">
      <w:pPr>
        <w:spacing w:before="60" w:after="60"/>
        <w:jc w:val="both"/>
      </w:pPr>
      <w:r>
        <w:rPr>
          <w:rFonts w:ascii="Times New Roman" w:hAnsi="Times New Roman"/>
          <w:b/>
          <w:sz w:val="18"/>
        </w:rPr>
        <w:t>Matriz de Confusión</w:t>
      </w:r>
      <w:r w:rsidR="004B413B">
        <w:rPr>
          <w:rFonts w:ascii="Times New Roman" w:hAnsi="Times New Roman"/>
          <w:b/>
          <w:sz w:val="18"/>
        </w:rPr>
        <w:t xml:space="preserve"> RF (</w:t>
      </w:r>
      <w:r>
        <w:rPr>
          <w:rFonts w:ascii="Times New Roman" w:hAnsi="Times New Roman"/>
          <w:b/>
          <w:sz w:val="18"/>
        </w:rPr>
        <w:t>100) + Oversampling + threshold=0,5 (X_test fijo):</w:t>
      </w:r>
    </w:p>
    <w:tbl>
      <w:tblPr>
        <w:tblStyle w:val="Tablaconcuadrcula"/>
        <w:tblW w:w="0" w:type="auto"/>
        <w:tblLook w:val="04A0" w:firstRow="1" w:lastRow="0" w:firstColumn="1" w:lastColumn="0" w:noHBand="0" w:noVBand="1"/>
      </w:tblPr>
      <w:tblGrid>
        <w:gridCol w:w="1607"/>
        <w:gridCol w:w="1646"/>
        <w:gridCol w:w="1646"/>
      </w:tblGrid>
      <w:tr w:rsidR="00FE21DF" w14:paraId="15ABBF72" w14:textId="77777777">
        <w:tc>
          <w:tcPr>
            <w:tcW w:w="3362" w:type="dxa"/>
          </w:tcPr>
          <w:p w14:paraId="1E141B88" w14:textId="77777777" w:rsidR="00FE21DF" w:rsidRDefault="00FE21DF"/>
        </w:tc>
        <w:tc>
          <w:tcPr>
            <w:tcW w:w="3362" w:type="dxa"/>
          </w:tcPr>
          <w:p w14:paraId="04710095" w14:textId="77777777" w:rsidR="00FE21DF" w:rsidRDefault="00000000">
            <w:r>
              <w:rPr>
                <w:rFonts w:ascii="Times New Roman" w:hAnsi="Times New Roman"/>
                <w:b/>
                <w:sz w:val="17"/>
              </w:rPr>
              <w:t>Predicho: Legítima</w:t>
            </w:r>
          </w:p>
        </w:tc>
        <w:tc>
          <w:tcPr>
            <w:tcW w:w="3362" w:type="dxa"/>
          </w:tcPr>
          <w:p w14:paraId="7E30153D" w14:textId="77777777" w:rsidR="00FE21DF" w:rsidRDefault="00000000">
            <w:r>
              <w:rPr>
                <w:rFonts w:ascii="Times New Roman" w:hAnsi="Times New Roman"/>
                <w:b/>
                <w:sz w:val="17"/>
              </w:rPr>
              <w:t>Predicho: Fraude</w:t>
            </w:r>
          </w:p>
        </w:tc>
      </w:tr>
      <w:tr w:rsidR="00FE21DF" w14:paraId="747C2436" w14:textId="77777777">
        <w:tc>
          <w:tcPr>
            <w:tcW w:w="3362" w:type="dxa"/>
          </w:tcPr>
          <w:p w14:paraId="78DC3CAC" w14:textId="77777777" w:rsidR="00FE21DF" w:rsidRDefault="00000000">
            <w:r>
              <w:rPr>
                <w:rFonts w:ascii="Times New Roman" w:hAnsi="Times New Roman"/>
                <w:b/>
                <w:sz w:val="17"/>
              </w:rPr>
              <w:t>Real: Legítima</w:t>
            </w:r>
          </w:p>
        </w:tc>
        <w:tc>
          <w:tcPr>
            <w:tcW w:w="3362" w:type="dxa"/>
          </w:tcPr>
          <w:p w14:paraId="34107E88" w14:textId="77777777" w:rsidR="00FE21DF" w:rsidRDefault="00000000">
            <w:r>
              <w:rPr>
                <w:rFonts w:ascii="Times New Roman" w:hAnsi="Times New Roman"/>
                <w:sz w:val="17"/>
              </w:rPr>
              <w:t>TN = 98.357</w:t>
            </w:r>
          </w:p>
        </w:tc>
        <w:tc>
          <w:tcPr>
            <w:tcW w:w="3362" w:type="dxa"/>
          </w:tcPr>
          <w:p w14:paraId="77D2FE8B" w14:textId="77777777" w:rsidR="00FE21DF" w:rsidRDefault="00000000">
            <w:r>
              <w:rPr>
                <w:rFonts w:ascii="Times New Roman" w:hAnsi="Times New Roman"/>
                <w:sz w:val="17"/>
              </w:rPr>
              <w:t>FP = 0</w:t>
            </w:r>
          </w:p>
        </w:tc>
      </w:tr>
      <w:tr w:rsidR="00FE21DF" w14:paraId="5EEE01FE" w14:textId="77777777">
        <w:tc>
          <w:tcPr>
            <w:tcW w:w="3362" w:type="dxa"/>
          </w:tcPr>
          <w:p w14:paraId="5986266C" w14:textId="77777777" w:rsidR="00FE21DF" w:rsidRDefault="00000000">
            <w:r>
              <w:rPr>
                <w:rFonts w:ascii="Times New Roman" w:hAnsi="Times New Roman"/>
                <w:b/>
                <w:sz w:val="17"/>
              </w:rPr>
              <w:t>Real: Fraude</w:t>
            </w:r>
          </w:p>
        </w:tc>
        <w:tc>
          <w:tcPr>
            <w:tcW w:w="3362" w:type="dxa"/>
          </w:tcPr>
          <w:p w14:paraId="0A7CF25A" w14:textId="77777777" w:rsidR="00FE21DF" w:rsidRDefault="00000000">
            <w:r>
              <w:rPr>
                <w:rFonts w:ascii="Times New Roman" w:hAnsi="Times New Roman"/>
                <w:sz w:val="17"/>
              </w:rPr>
              <w:t>FN = 3</w:t>
            </w:r>
          </w:p>
        </w:tc>
        <w:tc>
          <w:tcPr>
            <w:tcW w:w="3362" w:type="dxa"/>
          </w:tcPr>
          <w:p w14:paraId="766A167F" w14:textId="77777777" w:rsidR="00FE21DF" w:rsidRDefault="00000000">
            <w:r>
              <w:rPr>
                <w:rFonts w:ascii="Times New Roman" w:hAnsi="Times New Roman"/>
                <w:sz w:val="17"/>
              </w:rPr>
              <w:t>TP = 1.640</w:t>
            </w:r>
          </w:p>
        </w:tc>
      </w:tr>
    </w:tbl>
    <w:p w14:paraId="6BCF50DA" w14:textId="197447F4" w:rsidR="00FE21DF" w:rsidRPr="00500856" w:rsidRDefault="00000000">
      <w:pPr>
        <w:jc w:val="center"/>
        <w:rPr>
          <w:lang w:val="es-CO"/>
        </w:rPr>
      </w:pPr>
      <w:r w:rsidRPr="00500856">
        <w:rPr>
          <w:rFonts w:ascii="Times New Roman" w:hAnsi="Times New Roman"/>
          <w:i/>
          <w:sz w:val="16"/>
          <w:lang w:val="es-CO"/>
        </w:rPr>
        <w:t>Tabla 2. Matriz de confusión del modelo ganador sobre X_test (100.000 registros).</w:t>
      </w:r>
      <w:r w:rsidRPr="00500856">
        <w:rPr>
          <w:rFonts w:ascii="Times New Roman" w:hAnsi="Times New Roman"/>
          <w:i/>
          <w:sz w:val="16"/>
          <w:lang w:val="es-CO"/>
        </w:rPr>
        <w:br/>
      </w:r>
      <w:r>
        <w:rPr>
          <w:rFonts w:ascii="Times New Roman" w:hAnsi="Times New Roman"/>
          <w:i/>
          <w:sz w:val="16"/>
        </w:rPr>
        <w:t xml:space="preserve">GN = (1.640 × $100) − (0 × $33) = $164.000. </w:t>
      </w:r>
      <w:r w:rsidRPr="00500856">
        <w:rPr>
          <w:rFonts w:ascii="Times New Roman" w:hAnsi="Times New Roman"/>
          <w:i/>
          <w:sz w:val="16"/>
          <w:lang w:val="es-CO"/>
        </w:rPr>
        <w:t xml:space="preserve">FP=0 elimina el riesgo legal del Art. 15 CN [11]. Nota: el resultado FP=0 es consistente con la naturaleza sintética de PaySim [43], donde las variables derivadas de consistencia de balances (error_balance_orig, error_balance_dest) capturan patrones deterministas del </w:t>
      </w:r>
      <w:r w:rsidR="004B413B" w:rsidRPr="00500856">
        <w:rPr>
          <w:rFonts w:ascii="Times New Roman" w:hAnsi="Times New Roman"/>
          <w:i/>
          <w:sz w:val="16"/>
          <w:lang w:val="es-CO"/>
        </w:rPr>
        <w:t>simulador en</w:t>
      </w:r>
      <w:r w:rsidRPr="00500856">
        <w:rPr>
          <w:rFonts w:ascii="Times New Roman" w:hAnsi="Times New Roman"/>
          <w:i/>
          <w:sz w:val="16"/>
          <w:lang w:val="es-CO"/>
        </w:rPr>
        <w:t xml:space="preserve"> fraudes reales la generalización requeriría validación con datos de producción. Fuente: elaboración propia.</w:t>
      </w:r>
    </w:p>
    <w:p w14:paraId="0B5DA466" w14:textId="77777777" w:rsidR="00FE21DF" w:rsidRPr="00500856" w:rsidRDefault="00000000">
      <w:pPr>
        <w:spacing w:before="60" w:after="60"/>
        <w:jc w:val="both"/>
        <w:rPr>
          <w:lang w:val="es-CO"/>
        </w:rPr>
      </w:pPr>
      <w:r w:rsidRPr="00500856">
        <w:rPr>
          <w:rFonts w:ascii="Times New Roman" w:hAnsi="Times New Roman"/>
          <w:b/>
          <w:sz w:val="18"/>
          <w:lang w:val="es-CO"/>
        </w:rPr>
        <w:t>Tabla 3. Métricas completas del modelo ganador (X_test fijo, 20% estratificado):</w:t>
      </w:r>
    </w:p>
    <w:tbl>
      <w:tblPr>
        <w:tblStyle w:val="Tablaconcuadrcula"/>
        <w:tblW w:w="0" w:type="auto"/>
        <w:tblLook w:val="04A0" w:firstRow="1" w:lastRow="0" w:firstColumn="1" w:lastColumn="0" w:noHBand="0" w:noVBand="1"/>
      </w:tblPr>
      <w:tblGrid>
        <w:gridCol w:w="426"/>
        <w:gridCol w:w="596"/>
        <w:gridCol w:w="486"/>
        <w:gridCol w:w="355"/>
        <w:gridCol w:w="292"/>
        <w:gridCol w:w="298"/>
        <w:gridCol w:w="385"/>
        <w:gridCol w:w="459"/>
        <w:gridCol w:w="385"/>
        <w:gridCol w:w="385"/>
        <w:gridCol w:w="385"/>
        <w:gridCol w:w="447"/>
      </w:tblGrid>
      <w:tr w:rsidR="00FE21DF" w14:paraId="7BED3E7D" w14:textId="77777777">
        <w:tc>
          <w:tcPr>
            <w:tcW w:w="840" w:type="dxa"/>
          </w:tcPr>
          <w:p w14:paraId="2278916F" w14:textId="77777777" w:rsidR="00FE21DF" w:rsidRDefault="00000000">
            <w:r>
              <w:rPr>
                <w:rFonts w:ascii="Times New Roman" w:hAnsi="Times New Roman"/>
                <w:b/>
                <w:sz w:val="14"/>
              </w:rPr>
              <w:t>Mo</w:t>
            </w:r>
            <w:r>
              <w:rPr>
                <w:rFonts w:ascii="Times New Roman" w:hAnsi="Times New Roman"/>
                <w:b/>
                <w:sz w:val="14"/>
              </w:rPr>
              <w:t>delo</w:t>
            </w:r>
          </w:p>
        </w:tc>
        <w:tc>
          <w:tcPr>
            <w:tcW w:w="840" w:type="dxa"/>
          </w:tcPr>
          <w:p w14:paraId="06700188" w14:textId="77777777" w:rsidR="00FE21DF" w:rsidRDefault="00000000">
            <w:r>
              <w:rPr>
                <w:rFonts w:ascii="Times New Roman" w:hAnsi="Times New Roman"/>
                <w:b/>
                <w:sz w:val="14"/>
              </w:rPr>
              <w:t>Dataset</w:t>
            </w:r>
          </w:p>
        </w:tc>
        <w:tc>
          <w:tcPr>
            <w:tcW w:w="840" w:type="dxa"/>
          </w:tcPr>
          <w:p w14:paraId="11F76659" w14:textId="77777777" w:rsidR="00FE21DF" w:rsidRDefault="00000000">
            <w:r>
              <w:rPr>
                <w:rFonts w:ascii="Times New Roman" w:hAnsi="Times New Roman"/>
                <w:b/>
                <w:sz w:val="14"/>
              </w:rPr>
              <w:t>Threshold</w:t>
            </w:r>
          </w:p>
        </w:tc>
        <w:tc>
          <w:tcPr>
            <w:tcW w:w="840" w:type="dxa"/>
          </w:tcPr>
          <w:p w14:paraId="5B1E10B0" w14:textId="77777777" w:rsidR="00FE21DF" w:rsidRDefault="00000000">
            <w:r>
              <w:rPr>
                <w:rFonts w:ascii="Times New Roman" w:hAnsi="Times New Roman"/>
                <w:b/>
                <w:sz w:val="14"/>
              </w:rPr>
              <w:t>TP</w:t>
            </w:r>
          </w:p>
        </w:tc>
        <w:tc>
          <w:tcPr>
            <w:tcW w:w="840" w:type="dxa"/>
          </w:tcPr>
          <w:p w14:paraId="2B731E29" w14:textId="77777777" w:rsidR="00FE21DF" w:rsidRDefault="00000000">
            <w:r>
              <w:rPr>
                <w:rFonts w:ascii="Times New Roman" w:hAnsi="Times New Roman"/>
                <w:b/>
                <w:sz w:val="14"/>
              </w:rPr>
              <w:t>FP</w:t>
            </w:r>
          </w:p>
        </w:tc>
        <w:tc>
          <w:tcPr>
            <w:tcW w:w="840" w:type="dxa"/>
          </w:tcPr>
          <w:p w14:paraId="7A58C5C9" w14:textId="77777777" w:rsidR="00FE21DF" w:rsidRDefault="00000000">
            <w:r>
              <w:rPr>
                <w:rFonts w:ascii="Times New Roman" w:hAnsi="Times New Roman"/>
                <w:b/>
                <w:sz w:val="14"/>
              </w:rPr>
              <w:t>FN</w:t>
            </w:r>
          </w:p>
        </w:tc>
        <w:tc>
          <w:tcPr>
            <w:tcW w:w="840" w:type="dxa"/>
          </w:tcPr>
          <w:p w14:paraId="3AA8A762" w14:textId="77777777" w:rsidR="00FE21DF" w:rsidRDefault="00000000">
            <w:r>
              <w:rPr>
                <w:rFonts w:ascii="Times New Roman" w:hAnsi="Times New Roman"/>
                <w:b/>
                <w:sz w:val="14"/>
              </w:rPr>
              <w:t>TN</w:t>
            </w:r>
          </w:p>
        </w:tc>
        <w:tc>
          <w:tcPr>
            <w:tcW w:w="840" w:type="dxa"/>
          </w:tcPr>
          <w:p w14:paraId="732A1BB6" w14:textId="77777777" w:rsidR="00FE21DF" w:rsidRDefault="00000000">
            <w:r>
              <w:rPr>
                <w:rFonts w:ascii="Times New Roman" w:hAnsi="Times New Roman"/>
                <w:b/>
                <w:sz w:val="14"/>
              </w:rPr>
              <w:t>Precision</w:t>
            </w:r>
          </w:p>
        </w:tc>
        <w:tc>
          <w:tcPr>
            <w:tcW w:w="840" w:type="dxa"/>
          </w:tcPr>
          <w:p w14:paraId="31760F67" w14:textId="77777777" w:rsidR="00FE21DF" w:rsidRDefault="00000000">
            <w:r>
              <w:rPr>
                <w:rFonts w:ascii="Times New Roman" w:hAnsi="Times New Roman"/>
                <w:b/>
                <w:sz w:val="14"/>
              </w:rPr>
              <w:t>Recall</w:t>
            </w:r>
          </w:p>
        </w:tc>
        <w:tc>
          <w:tcPr>
            <w:tcW w:w="840" w:type="dxa"/>
          </w:tcPr>
          <w:p w14:paraId="1939A6AE" w14:textId="77777777" w:rsidR="00FE21DF" w:rsidRDefault="00000000">
            <w:r>
              <w:rPr>
                <w:rFonts w:ascii="Times New Roman" w:hAnsi="Times New Roman"/>
                <w:b/>
                <w:sz w:val="14"/>
              </w:rPr>
              <w:t>F1</w:t>
            </w:r>
          </w:p>
        </w:tc>
        <w:tc>
          <w:tcPr>
            <w:tcW w:w="840" w:type="dxa"/>
          </w:tcPr>
          <w:p w14:paraId="53BC26E5" w14:textId="77777777" w:rsidR="00FE21DF" w:rsidRDefault="00000000">
            <w:r>
              <w:rPr>
                <w:rFonts w:ascii="Times New Roman" w:hAnsi="Times New Roman"/>
                <w:b/>
                <w:sz w:val="14"/>
              </w:rPr>
              <w:t>AUC</w:t>
            </w:r>
          </w:p>
        </w:tc>
        <w:tc>
          <w:tcPr>
            <w:tcW w:w="840" w:type="dxa"/>
          </w:tcPr>
          <w:p w14:paraId="742CF62E" w14:textId="77777777" w:rsidR="00FE21DF" w:rsidRDefault="00000000">
            <w:r>
              <w:rPr>
                <w:rFonts w:ascii="Times New Roman" w:hAnsi="Times New Roman"/>
                <w:b/>
                <w:sz w:val="14"/>
              </w:rPr>
              <w:t>GN ($)</w:t>
            </w:r>
          </w:p>
        </w:tc>
      </w:tr>
      <w:tr w:rsidR="00FE21DF" w14:paraId="057789CD" w14:textId="77777777">
        <w:tc>
          <w:tcPr>
            <w:tcW w:w="840" w:type="dxa"/>
          </w:tcPr>
          <w:p w14:paraId="5783444F" w14:textId="77777777" w:rsidR="00FE21DF" w:rsidRDefault="00000000">
            <w:r>
              <w:rPr>
                <w:rFonts w:ascii="Times New Roman" w:hAnsi="Times New Roman"/>
                <w:sz w:val="14"/>
              </w:rPr>
              <w:t>RF(100)</w:t>
            </w:r>
          </w:p>
        </w:tc>
        <w:tc>
          <w:tcPr>
            <w:tcW w:w="840" w:type="dxa"/>
          </w:tcPr>
          <w:p w14:paraId="61E07120" w14:textId="77777777" w:rsidR="00FE21DF" w:rsidRDefault="00000000">
            <w:r>
              <w:rPr>
                <w:rFonts w:ascii="Times New Roman" w:hAnsi="Times New Roman"/>
                <w:sz w:val="14"/>
              </w:rPr>
              <w:t>Oversampling</w:t>
            </w:r>
          </w:p>
        </w:tc>
        <w:tc>
          <w:tcPr>
            <w:tcW w:w="840" w:type="dxa"/>
          </w:tcPr>
          <w:p w14:paraId="7A60BE13" w14:textId="77777777" w:rsidR="00FE21DF" w:rsidRDefault="00000000">
            <w:r>
              <w:rPr>
                <w:rFonts w:ascii="Times New Roman" w:hAnsi="Times New Roman"/>
                <w:sz w:val="14"/>
              </w:rPr>
              <w:t>0,5</w:t>
            </w:r>
          </w:p>
        </w:tc>
        <w:tc>
          <w:tcPr>
            <w:tcW w:w="840" w:type="dxa"/>
          </w:tcPr>
          <w:p w14:paraId="6C68DCDB" w14:textId="77777777" w:rsidR="00FE21DF" w:rsidRDefault="00000000">
            <w:r>
              <w:rPr>
                <w:rFonts w:ascii="Times New Roman" w:hAnsi="Times New Roman"/>
                <w:sz w:val="14"/>
              </w:rPr>
              <w:t>1.640</w:t>
            </w:r>
          </w:p>
        </w:tc>
        <w:tc>
          <w:tcPr>
            <w:tcW w:w="840" w:type="dxa"/>
          </w:tcPr>
          <w:p w14:paraId="0DEDA470" w14:textId="77777777" w:rsidR="00FE21DF" w:rsidRDefault="00000000">
            <w:r>
              <w:rPr>
                <w:rFonts w:ascii="Times New Roman" w:hAnsi="Times New Roman"/>
                <w:sz w:val="14"/>
              </w:rPr>
              <w:t>0</w:t>
            </w:r>
          </w:p>
        </w:tc>
        <w:tc>
          <w:tcPr>
            <w:tcW w:w="840" w:type="dxa"/>
          </w:tcPr>
          <w:p w14:paraId="70CA1F4C" w14:textId="77777777" w:rsidR="00FE21DF" w:rsidRDefault="00000000">
            <w:r>
              <w:rPr>
                <w:rFonts w:ascii="Times New Roman" w:hAnsi="Times New Roman"/>
                <w:sz w:val="14"/>
              </w:rPr>
              <w:t>3</w:t>
            </w:r>
          </w:p>
        </w:tc>
        <w:tc>
          <w:tcPr>
            <w:tcW w:w="840" w:type="dxa"/>
          </w:tcPr>
          <w:p w14:paraId="151F92CF" w14:textId="77777777" w:rsidR="00FE21DF" w:rsidRDefault="00000000">
            <w:r>
              <w:rPr>
                <w:rFonts w:ascii="Times New Roman" w:hAnsi="Times New Roman"/>
                <w:sz w:val="14"/>
              </w:rPr>
              <w:t>98.357</w:t>
            </w:r>
          </w:p>
        </w:tc>
        <w:tc>
          <w:tcPr>
            <w:tcW w:w="840" w:type="dxa"/>
          </w:tcPr>
          <w:p w14:paraId="774FCDC3" w14:textId="77777777" w:rsidR="00FE21DF" w:rsidRDefault="00000000">
            <w:r>
              <w:rPr>
                <w:rFonts w:ascii="Times New Roman" w:hAnsi="Times New Roman"/>
                <w:sz w:val="14"/>
              </w:rPr>
              <w:t>1,0000</w:t>
            </w:r>
          </w:p>
        </w:tc>
        <w:tc>
          <w:tcPr>
            <w:tcW w:w="840" w:type="dxa"/>
          </w:tcPr>
          <w:p w14:paraId="4B95A561" w14:textId="77777777" w:rsidR="00FE21DF" w:rsidRDefault="00000000">
            <w:r>
              <w:rPr>
                <w:rFonts w:ascii="Times New Roman" w:hAnsi="Times New Roman"/>
                <w:sz w:val="14"/>
              </w:rPr>
              <w:t>0,9982</w:t>
            </w:r>
          </w:p>
        </w:tc>
        <w:tc>
          <w:tcPr>
            <w:tcW w:w="840" w:type="dxa"/>
          </w:tcPr>
          <w:p w14:paraId="46F657AC" w14:textId="77777777" w:rsidR="00FE21DF" w:rsidRDefault="00000000">
            <w:r>
              <w:rPr>
                <w:rFonts w:ascii="Times New Roman" w:hAnsi="Times New Roman"/>
                <w:sz w:val="14"/>
              </w:rPr>
              <w:t>0,9991</w:t>
            </w:r>
          </w:p>
        </w:tc>
        <w:tc>
          <w:tcPr>
            <w:tcW w:w="840" w:type="dxa"/>
          </w:tcPr>
          <w:p w14:paraId="738E4EBA" w14:textId="77777777" w:rsidR="00FE21DF" w:rsidRDefault="00000000">
            <w:r>
              <w:rPr>
                <w:rFonts w:ascii="Times New Roman" w:hAnsi="Times New Roman"/>
                <w:sz w:val="14"/>
              </w:rPr>
              <w:t>0,9994</w:t>
            </w:r>
          </w:p>
        </w:tc>
        <w:tc>
          <w:tcPr>
            <w:tcW w:w="840" w:type="dxa"/>
          </w:tcPr>
          <w:p w14:paraId="356F2F54" w14:textId="77777777" w:rsidR="00FE21DF" w:rsidRDefault="00000000">
            <w:r>
              <w:rPr>
                <w:rFonts w:ascii="Times New Roman" w:hAnsi="Times New Roman"/>
                <w:sz w:val="14"/>
              </w:rPr>
              <w:t>$164.000</w:t>
            </w:r>
          </w:p>
        </w:tc>
      </w:tr>
      <w:tr w:rsidR="00FE21DF" w14:paraId="15BB4EA0" w14:textId="77777777">
        <w:tc>
          <w:tcPr>
            <w:tcW w:w="840" w:type="dxa"/>
          </w:tcPr>
          <w:p w14:paraId="55EE409B" w14:textId="77777777" w:rsidR="00FE21DF" w:rsidRDefault="00000000">
            <w:r>
              <w:rPr>
                <w:rFonts w:ascii="Times New Roman" w:hAnsi="Times New Roman"/>
                <w:sz w:val="14"/>
              </w:rPr>
              <w:t>RF(100)</w:t>
            </w:r>
          </w:p>
        </w:tc>
        <w:tc>
          <w:tcPr>
            <w:tcW w:w="840" w:type="dxa"/>
          </w:tcPr>
          <w:p w14:paraId="303170EC" w14:textId="77777777" w:rsidR="00FE21DF" w:rsidRDefault="00000000">
            <w:r>
              <w:rPr>
                <w:rFonts w:ascii="Times New Roman" w:hAnsi="Times New Roman"/>
                <w:sz w:val="14"/>
              </w:rPr>
              <w:t>Oversampling</w:t>
            </w:r>
          </w:p>
        </w:tc>
        <w:tc>
          <w:tcPr>
            <w:tcW w:w="840" w:type="dxa"/>
          </w:tcPr>
          <w:p w14:paraId="73C5D5D0" w14:textId="77777777" w:rsidR="00FE21DF" w:rsidRDefault="00000000">
            <w:r>
              <w:rPr>
                <w:rFonts w:ascii="Times New Roman" w:hAnsi="Times New Roman"/>
                <w:sz w:val="14"/>
              </w:rPr>
              <w:t>0,78</w:t>
            </w:r>
          </w:p>
        </w:tc>
        <w:tc>
          <w:tcPr>
            <w:tcW w:w="840" w:type="dxa"/>
          </w:tcPr>
          <w:p w14:paraId="07A882BA" w14:textId="77777777" w:rsidR="00FE21DF" w:rsidRDefault="00000000">
            <w:r>
              <w:rPr>
                <w:rFonts w:ascii="Times New Roman" w:hAnsi="Times New Roman"/>
                <w:sz w:val="14"/>
              </w:rPr>
              <w:t>1.640</w:t>
            </w:r>
          </w:p>
        </w:tc>
        <w:tc>
          <w:tcPr>
            <w:tcW w:w="840" w:type="dxa"/>
          </w:tcPr>
          <w:p w14:paraId="66ABDE47" w14:textId="77777777" w:rsidR="00FE21DF" w:rsidRDefault="00000000">
            <w:r>
              <w:rPr>
                <w:rFonts w:ascii="Times New Roman" w:hAnsi="Times New Roman"/>
                <w:sz w:val="14"/>
              </w:rPr>
              <w:t>0</w:t>
            </w:r>
          </w:p>
        </w:tc>
        <w:tc>
          <w:tcPr>
            <w:tcW w:w="840" w:type="dxa"/>
          </w:tcPr>
          <w:p w14:paraId="6A7B3949" w14:textId="77777777" w:rsidR="00FE21DF" w:rsidRDefault="00000000">
            <w:r>
              <w:rPr>
                <w:rFonts w:ascii="Times New Roman" w:hAnsi="Times New Roman"/>
                <w:sz w:val="14"/>
              </w:rPr>
              <w:t>3</w:t>
            </w:r>
          </w:p>
        </w:tc>
        <w:tc>
          <w:tcPr>
            <w:tcW w:w="840" w:type="dxa"/>
          </w:tcPr>
          <w:p w14:paraId="14518A27" w14:textId="77777777" w:rsidR="00FE21DF" w:rsidRDefault="00000000">
            <w:r>
              <w:rPr>
                <w:rFonts w:ascii="Times New Roman" w:hAnsi="Times New Roman"/>
                <w:sz w:val="14"/>
              </w:rPr>
              <w:t>98.357</w:t>
            </w:r>
          </w:p>
        </w:tc>
        <w:tc>
          <w:tcPr>
            <w:tcW w:w="840" w:type="dxa"/>
          </w:tcPr>
          <w:p w14:paraId="172DAB79" w14:textId="77777777" w:rsidR="00FE21DF" w:rsidRDefault="00000000">
            <w:r>
              <w:rPr>
                <w:rFonts w:ascii="Times New Roman" w:hAnsi="Times New Roman"/>
                <w:sz w:val="14"/>
              </w:rPr>
              <w:t>1,0000</w:t>
            </w:r>
          </w:p>
        </w:tc>
        <w:tc>
          <w:tcPr>
            <w:tcW w:w="840" w:type="dxa"/>
          </w:tcPr>
          <w:p w14:paraId="4E18085D" w14:textId="77777777" w:rsidR="00FE21DF" w:rsidRDefault="00000000">
            <w:r>
              <w:rPr>
                <w:rFonts w:ascii="Times New Roman" w:hAnsi="Times New Roman"/>
                <w:sz w:val="14"/>
              </w:rPr>
              <w:t>0,9982</w:t>
            </w:r>
          </w:p>
        </w:tc>
        <w:tc>
          <w:tcPr>
            <w:tcW w:w="840" w:type="dxa"/>
          </w:tcPr>
          <w:p w14:paraId="0B05B599" w14:textId="77777777" w:rsidR="00FE21DF" w:rsidRDefault="00000000">
            <w:r>
              <w:rPr>
                <w:rFonts w:ascii="Times New Roman" w:hAnsi="Times New Roman"/>
                <w:sz w:val="14"/>
              </w:rPr>
              <w:t>0,9991</w:t>
            </w:r>
          </w:p>
        </w:tc>
        <w:tc>
          <w:tcPr>
            <w:tcW w:w="840" w:type="dxa"/>
          </w:tcPr>
          <w:p w14:paraId="751471F1" w14:textId="77777777" w:rsidR="00FE21DF" w:rsidRDefault="00000000">
            <w:r>
              <w:rPr>
                <w:rFonts w:ascii="Times New Roman" w:hAnsi="Times New Roman"/>
                <w:sz w:val="14"/>
              </w:rPr>
              <w:t>0,9994</w:t>
            </w:r>
          </w:p>
        </w:tc>
        <w:tc>
          <w:tcPr>
            <w:tcW w:w="840" w:type="dxa"/>
          </w:tcPr>
          <w:p w14:paraId="2C640FB5" w14:textId="77777777" w:rsidR="00FE21DF" w:rsidRDefault="00000000">
            <w:r>
              <w:rPr>
                <w:rFonts w:ascii="Times New Roman" w:hAnsi="Times New Roman"/>
                <w:sz w:val="14"/>
              </w:rPr>
              <w:t>$164.000</w:t>
            </w:r>
          </w:p>
        </w:tc>
      </w:tr>
      <w:tr w:rsidR="00FE21DF" w14:paraId="6298F2D9" w14:textId="77777777">
        <w:tc>
          <w:tcPr>
            <w:tcW w:w="840" w:type="dxa"/>
          </w:tcPr>
          <w:p w14:paraId="4DC4089F" w14:textId="77777777" w:rsidR="00FE21DF" w:rsidRDefault="00000000">
            <w:r>
              <w:rPr>
                <w:rFonts w:ascii="Times New Roman" w:hAnsi="Times New Roman"/>
                <w:sz w:val="14"/>
              </w:rPr>
              <w:t>RF(100)</w:t>
            </w:r>
          </w:p>
        </w:tc>
        <w:tc>
          <w:tcPr>
            <w:tcW w:w="840" w:type="dxa"/>
          </w:tcPr>
          <w:p w14:paraId="748B93F3" w14:textId="77777777" w:rsidR="00FE21DF" w:rsidRDefault="00000000">
            <w:r>
              <w:rPr>
                <w:rFonts w:ascii="Times New Roman" w:hAnsi="Times New Roman"/>
                <w:sz w:val="14"/>
              </w:rPr>
              <w:t>Undersampling</w:t>
            </w:r>
          </w:p>
        </w:tc>
        <w:tc>
          <w:tcPr>
            <w:tcW w:w="840" w:type="dxa"/>
          </w:tcPr>
          <w:p w14:paraId="29B7C977" w14:textId="77777777" w:rsidR="00FE21DF" w:rsidRDefault="00000000">
            <w:r>
              <w:rPr>
                <w:rFonts w:ascii="Times New Roman" w:hAnsi="Times New Roman"/>
                <w:sz w:val="14"/>
              </w:rPr>
              <w:t>0,78</w:t>
            </w:r>
          </w:p>
        </w:tc>
        <w:tc>
          <w:tcPr>
            <w:tcW w:w="840" w:type="dxa"/>
          </w:tcPr>
          <w:p w14:paraId="0AB89B32" w14:textId="77777777" w:rsidR="00FE21DF" w:rsidRDefault="00000000">
            <w:r>
              <w:rPr>
                <w:rFonts w:ascii="Times New Roman" w:hAnsi="Times New Roman"/>
                <w:sz w:val="14"/>
              </w:rPr>
              <w:t>1.640</w:t>
            </w:r>
          </w:p>
        </w:tc>
        <w:tc>
          <w:tcPr>
            <w:tcW w:w="840" w:type="dxa"/>
          </w:tcPr>
          <w:p w14:paraId="67269325" w14:textId="77777777" w:rsidR="00FE21DF" w:rsidRDefault="00000000">
            <w:r>
              <w:rPr>
                <w:rFonts w:ascii="Times New Roman" w:hAnsi="Times New Roman"/>
                <w:sz w:val="14"/>
              </w:rPr>
              <w:t>1</w:t>
            </w:r>
          </w:p>
        </w:tc>
        <w:tc>
          <w:tcPr>
            <w:tcW w:w="840" w:type="dxa"/>
          </w:tcPr>
          <w:p w14:paraId="4DE7E54E" w14:textId="77777777" w:rsidR="00FE21DF" w:rsidRDefault="00000000">
            <w:r>
              <w:rPr>
                <w:rFonts w:ascii="Times New Roman" w:hAnsi="Times New Roman"/>
                <w:sz w:val="14"/>
              </w:rPr>
              <w:t>3</w:t>
            </w:r>
          </w:p>
        </w:tc>
        <w:tc>
          <w:tcPr>
            <w:tcW w:w="840" w:type="dxa"/>
          </w:tcPr>
          <w:p w14:paraId="5454CCA2" w14:textId="77777777" w:rsidR="00FE21DF" w:rsidRDefault="00000000">
            <w:r>
              <w:rPr>
                <w:rFonts w:ascii="Times New Roman" w:hAnsi="Times New Roman"/>
                <w:sz w:val="14"/>
              </w:rPr>
              <w:t>98.356</w:t>
            </w:r>
          </w:p>
        </w:tc>
        <w:tc>
          <w:tcPr>
            <w:tcW w:w="840" w:type="dxa"/>
          </w:tcPr>
          <w:p w14:paraId="543B40E3" w14:textId="77777777" w:rsidR="00FE21DF" w:rsidRDefault="00000000">
            <w:r>
              <w:rPr>
                <w:rFonts w:ascii="Times New Roman" w:hAnsi="Times New Roman"/>
                <w:sz w:val="14"/>
              </w:rPr>
              <w:t>0,9994</w:t>
            </w:r>
          </w:p>
        </w:tc>
        <w:tc>
          <w:tcPr>
            <w:tcW w:w="840" w:type="dxa"/>
          </w:tcPr>
          <w:p w14:paraId="00351CBC" w14:textId="77777777" w:rsidR="00FE21DF" w:rsidRDefault="00000000">
            <w:r>
              <w:rPr>
                <w:rFonts w:ascii="Times New Roman" w:hAnsi="Times New Roman"/>
                <w:sz w:val="14"/>
              </w:rPr>
              <w:t>0,9982</w:t>
            </w:r>
          </w:p>
        </w:tc>
        <w:tc>
          <w:tcPr>
            <w:tcW w:w="840" w:type="dxa"/>
          </w:tcPr>
          <w:p w14:paraId="109C0ABA" w14:textId="77777777" w:rsidR="00FE21DF" w:rsidRDefault="00000000">
            <w:r>
              <w:rPr>
                <w:rFonts w:ascii="Times New Roman" w:hAnsi="Times New Roman"/>
                <w:sz w:val="14"/>
              </w:rPr>
              <w:t>0,9988</w:t>
            </w:r>
          </w:p>
        </w:tc>
        <w:tc>
          <w:tcPr>
            <w:tcW w:w="840" w:type="dxa"/>
          </w:tcPr>
          <w:p w14:paraId="4D543E6A" w14:textId="77777777" w:rsidR="00FE21DF" w:rsidRDefault="00000000">
            <w:r>
              <w:rPr>
                <w:rFonts w:ascii="Times New Roman" w:hAnsi="Times New Roman"/>
                <w:sz w:val="14"/>
              </w:rPr>
              <w:t>1,0000</w:t>
            </w:r>
          </w:p>
        </w:tc>
        <w:tc>
          <w:tcPr>
            <w:tcW w:w="840" w:type="dxa"/>
          </w:tcPr>
          <w:p w14:paraId="33EB3D3C" w14:textId="77777777" w:rsidR="00FE21DF" w:rsidRDefault="00000000">
            <w:r>
              <w:rPr>
                <w:rFonts w:ascii="Times New Roman" w:hAnsi="Times New Roman"/>
                <w:sz w:val="14"/>
              </w:rPr>
              <w:t>$163.967</w:t>
            </w:r>
          </w:p>
        </w:tc>
      </w:tr>
    </w:tbl>
    <w:p w14:paraId="20A956AF" w14:textId="77777777" w:rsidR="00FE21DF" w:rsidRDefault="00000000">
      <w:pPr>
        <w:jc w:val="center"/>
      </w:pPr>
      <w:r w:rsidRPr="00500856">
        <w:rPr>
          <w:rFonts w:ascii="Times New Roman" w:hAnsi="Times New Roman"/>
          <w:i/>
          <w:sz w:val="16"/>
          <w:lang w:val="es-CO"/>
        </w:rPr>
        <w:t xml:space="preserve">Tabla 3. Métricas del modelo ganador y configuraciones equivalentes. </w:t>
      </w:r>
      <w:r>
        <w:rPr>
          <w:rFonts w:ascii="Times New Roman" w:hAnsi="Times New Roman"/>
          <w:i/>
          <w:sz w:val="16"/>
        </w:rPr>
        <w:t>RF(100) + Oversampling + t=0,5: GN=$164.000, Precision=1,0000, Recall=0,9982, F1=0,9991, AUC=0,9994.</w:t>
      </w:r>
    </w:p>
    <w:p w14:paraId="1B6F47FA" w14:textId="77777777" w:rsidR="00FE21DF" w:rsidRDefault="00000000">
      <w:pPr>
        <w:jc w:val="center"/>
      </w:pPr>
      <w:r>
        <w:rPr>
          <w:noProof/>
        </w:rPr>
        <w:drawing>
          <wp:inline distT="0" distB="0" distL="0" distR="0" wp14:anchorId="59F599D1" wp14:editId="3E1ADE96">
            <wp:extent cx="2700000" cy="11737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ganancia_neta.png"/>
                    <pic:cNvPicPr/>
                  </pic:nvPicPr>
                  <pic:blipFill>
                    <a:blip r:embed="rId13"/>
                    <a:stretch>
                      <a:fillRect/>
                    </a:stretch>
                  </pic:blipFill>
                  <pic:spPr>
                    <a:xfrm>
                      <a:off x="0" y="0"/>
                      <a:ext cx="2700000" cy="1173728"/>
                    </a:xfrm>
                    <a:prstGeom prst="rect">
                      <a:avLst/>
                    </a:prstGeom>
                  </pic:spPr>
                </pic:pic>
              </a:graphicData>
            </a:graphic>
          </wp:inline>
        </w:drawing>
      </w:r>
    </w:p>
    <w:p w14:paraId="1728F17A" w14:textId="77777777" w:rsidR="00FE21DF" w:rsidRPr="00500856" w:rsidRDefault="00000000">
      <w:pPr>
        <w:spacing w:after="120"/>
        <w:jc w:val="center"/>
        <w:rPr>
          <w:lang w:val="es-CO"/>
        </w:rPr>
      </w:pPr>
      <w:r w:rsidRPr="00500856">
        <w:rPr>
          <w:rFonts w:ascii="Times New Roman" w:hAnsi="Times New Roman"/>
          <w:i/>
          <w:sz w:val="17"/>
          <w:lang w:val="es-CO"/>
        </w:rPr>
        <w:t>Figura 8. Top 15 configuraciones por Ganancia Neta y GN máxima por modelo. Elaboración propia con dataset PaySim [17]. Ganador: RF(100) + Oversampling + t=0,5 (GN=$164.000 | TP=1.640 | FP=0).</w:t>
      </w:r>
    </w:p>
    <w:p w14:paraId="18C49CE1" w14:textId="77777777" w:rsidR="00FE21DF" w:rsidRPr="00500856" w:rsidRDefault="00000000">
      <w:pPr>
        <w:pStyle w:val="Ttulo2"/>
        <w:rPr>
          <w:lang w:val="es-CO"/>
        </w:rPr>
      </w:pPr>
      <w:r w:rsidRPr="00500856">
        <w:rPr>
          <w:rFonts w:ascii="Times New Roman" w:hAnsi="Times New Roman"/>
          <w:sz w:val="22"/>
          <w:lang w:val="es-CO"/>
        </w:rPr>
        <w:t>5.3. Hallazgo: Regresión Logística con GN Negativa</w:t>
      </w:r>
    </w:p>
    <w:p w14:paraId="49C3291F" w14:textId="77777777" w:rsidR="00FE21DF" w:rsidRPr="00500856" w:rsidRDefault="00000000">
      <w:pPr>
        <w:spacing w:before="60" w:after="60"/>
        <w:jc w:val="both"/>
        <w:rPr>
          <w:lang w:val="es-CO"/>
        </w:rPr>
      </w:pPr>
      <w:r w:rsidRPr="00500856">
        <w:rPr>
          <w:rFonts w:ascii="Times New Roman" w:hAnsi="Times New Roman"/>
          <w:sz w:val="20"/>
          <w:lang w:val="es-CO"/>
        </w:rPr>
        <w:t>La Regresión Logística produjo GN &lt; 0 en todas las configuraciones, resultado consistente con la literatura: los límites de decisión lineales son insuficientes para capturar la no-linealidad de los patrones de fraude transaccional [30][18]. Sin embargo, su valor radica en la interpretabilidad regulatoria: los coeficientes pueden presentarse ante la SFC como evidencia auditable de las variables relevantes, cumpliendo con la dimensión de Transparency del FAccT [12].</w:t>
      </w:r>
    </w:p>
    <w:p w14:paraId="5F0D6BBE" w14:textId="77777777" w:rsidR="00FE21DF" w:rsidRDefault="00000000">
      <w:pPr>
        <w:pStyle w:val="Ttulo2"/>
      </w:pPr>
      <w:r>
        <w:rPr>
          <w:rFonts w:ascii="Times New Roman" w:hAnsi="Times New Roman"/>
          <w:sz w:val="22"/>
        </w:rPr>
        <w:t>5.4. Análisis del Trade-off por Threshold</w:t>
      </w:r>
    </w:p>
    <w:p w14:paraId="20EB3DEE" w14:textId="4599348F" w:rsidR="00FE21DF" w:rsidRPr="00500856" w:rsidRDefault="00000000">
      <w:pPr>
        <w:spacing w:before="60" w:after="60"/>
        <w:jc w:val="both"/>
        <w:rPr>
          <w:lang w:val="es-CO"/>
        </w:rPr>
      </w:pPr>
      <w:r w:rsidRPr="00500856">
        <w:rPr>
          <w:rFonts w:ascii="Times New Roman" w:hAnsi="Times New Roman"/>
          <w:sz w:val="20"/>
          <w:lang w:val="es-CO"/>
        </w:rPr>
        <w:t xml:space="preserve">El análisis de trade-off sobre los resultados reales revela que threshold=0,5 resultó ser el punto óptimo para RF + Oversampling (GN=$164.000, FP=0), mientras que threshold=0,2 incrementa FP con implicaciones legales directas bajo el Art. 15 CN (Sentencia T-255/22 [11]  Corte Constitucional, 2022). Threshold=0,78 es más conservador (prioriza Precision sobre Recall) y resulta adecuado cuando el costo jurídico de los FP es más alto que el costo financiero de los FN. La Circular SFC 029/2014 [24] exige procedimiento expedito de </w:t>
      </w:r>
      <w:r w:rsidRPr="00500856">
        <w:rPr>
          <w:rFonts w:ascii="Times New Roman" w:hAnsi="Times New Roman"/>
          <w:sz w:val="20"/>
          <w:lang w:val="es-CO"/>
        </w:rPr>
        <w:lastRenderedPageBreak/>
        <w:t>reactivación para bloqueos, lo que hace crítico minimizar FP operativamente.</w:t>
      </w:r>
    </w:p>
    <w:p w14:paraId="7BB38822" w14:textId="77777777" w:rsidR="00FE21DF" w:rsidRPr="00F70415" w:rsidRDefault="00000000">
      <w:pPr>
        <w:pStyle w:val="Ttulo1"/>
        <w:rPr>
          <w:lang w:val="es-CO"/>
        </w:rPr>
      </w:pPr>
      <w:r w:rsidRPr="00F70415">
        <w:rPr>
          <w:rFonts w:ascii="Times New Roman" w:hAnsi="Times New Roman"/>
          <w:sz w:val="24"/>
          <w:lang w:val="es-CO"/>
        </w:rPr>
        <w:t>6. ANÁLISIS ÉTICO</w:t>
      </w:r>
    </w:p>
    <w:p w14:paraId="317A74CB" w14:textId="3841E81B" w:rsidR="00FE21DF" w:rsidRPr="00F70415" w:rsidRDefault="00000000">
      <w:pPr>
        <w:pStyle w:val="Ttulo2"/>
        <w:rPr>
          <w:lang w:val="es-CO"/>
        </w:rPr>
      </w:pPr>
      <w:r w:rsidRPr="00500856">
        <w:rPr>
          <w:rFonts w:ascii="Times New Roman" w:hAnsi="Times New Roman"/>
          <w:sz w:val="22"/>
          <w:lang w:val="es-CO"/>
        </w:rPr>
        <w:t xml:space="preserve">6.1. </w:t>
      </w:r>
      <w:r w:rsidR="00F70415" w:rsidRPr="00F70415">
        <w:rPr>
          <w:rFonts w:ascii="Times New Roman" w:hAnsi="Times New Roman"/>
          <w:sz w:val="22"/>
          <w:lang w:val="es-CO"/>
        </w:rPr>
        <w:t>Fairness</w:t>
      </w:r>
      <w:r w:rsidR="00F70415">
        <w:rPr>
          <w:rFonts w:ascii="Times New Roman" w:hAnsi="Times New Roman"/>
          <w:sz w:val="22"/>
          <w:lang w:val="es-CO"/>
        </w:rPr>
        <w:t xml:space="preserve"> -</w:t>
      </w:r>
      <w:r w:rsidR="00F70415" w:rsidRPr="00F70415">
        <w:rPr>
          <w:rFonts w:ascii="Times New Roman" w:hAnsi="Times New Roman"/>
          <w:sz w:val="22"/>
          <w:lang w:val="es-CO"/>
        </w:rPr>
        <w:t xml:space="preserve"> Equidad en las Decisiones Automatizadas</w:t>
      </w:r>
    </w:p>
    <w:p w14:paraId="41DF4DB6" w14:textId="0CCBC308" w:rsidR="00FE21DF" w:rsidRPr="00500856" w:rsidRDefault="00000000">
      <w:pPr>
        <w:spacing w:before="60" w:after="60"/>
        <w:jc w:val="both"/>
        <w:rPr>
          <w:lang w:val="es-CO"/>
        </w:rPr>
      </w:pPr>
      <w:r w:rsidRPr="00500856">
        <w:rPr>
          <w:rFonts w:ascii="Times New Roman" w:hAnsi="Times New Roman"/>
          <w:sz w:val="20"/>
          <w:lang w:val="es-CO"/>
        </w:rPr>
        <w:t xml:space="preserve">Los modelos entrenados con datos históricos heredan y amplifican sesgos sociales [21][25]. En el contexto de Banco Falabella, los riesgos principales son: (i) sesgo hacia perfiles thin-file (clientes sin historial transaccional suficiente  emprendedoras, migrantes, adultos mayores) que el modelo podría clasificar erróneamente por falta de datos de referencia; (ii) sesgo geográfico: zonas rurales con patrones atípicos (pagos en efectivo, montos irregulares) penalizadas injustamente; (iii) sesgo de género: mujeres emprendedoras son desproporcionadamente afectadas por sistemas automáticos de bloqueo </w:t>
      </w:r>
      <w:r w:rsidR="004B413B">
        <w:rPr>
          <w:rFonts w:ascii="Times New Roman" w:hAnsi="Times New Roman"/>
          <w:sz w:val="20"/>
          <w:lang w:val="es-CO"/>
        </w:rPr>
        <w:t>[25]</w:t>
      </w:r>
      <w:r w:rsidRPr="00500856">
        <w:rPr>
          <w:rFonts w:ascii="Times New Roman" w:hAnsi="Times New Roman"/>
          <w:sz w:val="20"/>
          <w:lang w:val="es-CO"/>
        </w:rPr>
        <w:t>. Estos sesgos violan el Art. 13 CN (igualdad material) y el Art. 15 CN.</w:t>
      </w:r>
    </w:p>
    <w:p w14:paraId="2EB52146" w14:textId="5F5E4C30" w:rsidR="00FE21DF" w:rsidRPr="00F70415" w:rsidRDefault="00000000">
      <w:pPr>
        <w:pStyle w:val="Ttulo2"/>
        <w:rPr>
          <w:lang w:val="es-CO"/>
        </w:rPr>
      </w:pPr>
      <w:r w:rsidRPr="00500856">
        <w:rPr>
          <w:rFonts w:ascii="Times New Roman" w:hAnsi="Times New Roman"/>
          <w:sz w:val="22"/>
          <w:lang w:val="es-CO"/>
        </w:rPr>
        <w:t xml:space="preserve">6.2. </w:t>
      </w:r>
      <w:r w:rsidR="00F70415" w:rsidRPr="00F70415">
        <w:rPr>
          <w:rFonts w:ascii="Times New Roman" w:hAnsi="Times New Roman"/>
          <w:sz w:val="22"/>
          <w:lang w:val="es-CO"/>
        </w:rPr>
        <w:t xml:space="preserve">Accountability </w:t>
      </w:r>
      <w:r w:rsidR="00F70415">
        <w:rPr>
          <w:rFonts w:ascii="Times New Roman" w:hAnsi="Times New Roman"/>
          <w:sz w:val="22"/>
          <w:lang w:val="es-CO"/>
        </w:rPr>
        <w:t>-</w:t>
      </w:r>
      <w:r w:rsidR="00F70415" w:rsidRPr="00F70415">
        <w:rPr>
          <w:rFonts w:ascii="Times New Roman" w:hAnsi="Times New Roman"/>
          <w:sz w:val="22"/>
          <w:lang w:val="es-CO"/>
        </w:rPr>
        <w:t xml:space="preserve"> Responsabilidad Legal por Decisiones del Modelo</w:t>
      </w:r>
    </w:p>
    <w:p w14:paraId="75CA5251" w14:textId="7EE6E821" w:rsidR="00FE21DF" w:rsidRPr="00500856" w:rsidRDefault="00000000">
      <w:pPr>
        <w:spacing w:before="60" w:after="60"/>
        <w:jc w:val="both"/>
        <w:rPr>
          <w:lang w:val="es-CO"/>
        </w:rPr>
      </w:pPr>
      <w:r w:rsidRPr="00500856">
        <w:rPr>
          <w:rFonts w:ascii="Times New Roman" w:hAnsi="Times New Roman"/>
          <w:sz w:val="20"/>
          <w:lang w:val="es-CO"/>
        </w:rPr>
        <w:t>La Ley 1266/2008 [22] (Hábeas Data Financiero) y el Art. 2341 C.C. [9] establecen responsabilidad directa de Banco Falabella por las consecuencias de sus decisiones automatizadas. Un falso negativo (fraude consumado) obliga al banco a restituir fondos al cliente afectado, salvo prueba de culpa exclusiva del usuario (Sentencia SC3146-</w:t>
      </w:r>
      <w:r w:rsidR="00F70415" w:rsidRPr="00500856">
        <w:rPr>
          <w:rFonts w:ascii="Times New Roman" w:hAnsi="Times New Roman"/>
          <w:sz w:val="20"/>
          <w:lang w:val="es-CO"/>
        </w:rPr>
        <w:t>2020 Corte</w:t>
      </w:r>
      <w:r w:rsidRPr="00500856">
        <w:rPr>
          <w:rFonts w:ascii="Times New Roman" w:hAnsi="Times New Roman"/>
          <w:sz w:val="20"/>
          <w:lang w:val="es-CO"/>
        </w:rPr>
        <w:t xml:space="preserve"> Suprema, 2020). Un falso positivo (bloqueo indebido) puede originar reclamaciones ante la SFC, acciones de tutela y reportes negativos ilegales en centrales de riesgo [22]. La Sentencia T-255/22 [11] (Corte Constitucional, 2022) establece jurisprudencia específica sobre responsabilidad por bloqueos arbitrarios mediante sistemas automatizados.</w:t>
      </w:r>
    </w:p>
    <w:p w14:paraId="6DC4F019" w14:textId="460F4C0C" w:rsidR="00FE21DF" w:rsidRPr="00F70415" w:rsidRDefault="00000000">
      <w:pPr>
        <w:pStyle w:val="Ttulo2"/>
        <w:rPr>
          <w:lang w:val="es-CO"/>
        </w:rPr>
      </w:pPr>
      <w:r w:rsidRPr="00500856">
        <w:rPr>
          <w:rFonts w:ascii="Times New Roman" w:hAnsi="Times New Roman"/>
          <w:sz w:val="22"/>
          <w:lang w:val="es-CO"/>
        </w:rPr>
        <w:t xml:space="preserve">6.3. </w:t>
      </w:r>
      <w:r w:rsidR="00F70415" w:rsidRPr="00F70415">
        <w:rPr>
          <w:rFonts w:ascii="Times New Roman" w:hAnsi="Times New Roman"/>
          <w:sz w:val="22"/>
          <w:lang w:val="es-CO"/>
        </w:rPr>
        <w:t>Transparency — Explicabilidad de los Modelos (XAI)</w:t>
      </w:r>
    </w:p>
    <w:p w14:paraId="373BE6E5" w14:textId="4C0FB2B6" w:rsidR="00FE21DF" w:rsidRPr="00F70415" w:rsidRDefault="00000000">
      <w:pPr>
        <w:spacing w:before="60" w:after="60"/>
        <w:jc w:val="both"/>
        <w:rPr>
          <w:lang w:val="es-CO"/>
        </w:rPr>
      </w:pPr>
      <w:r w:rsidRPr="00500856">
        <w:rPr>
          <w:rFonts w:ascii="Times New Roman" w:hAnsi="Times New Roman"/>
          <w:sz w:val="20"/>
          <w:lang w:val="es-CO"/>
        </w:rPr>
        <w:t>Random Forest y CatBoost alcanzan AUC &gt; 0,99 pero son inherentemente opacos ("caja negra</w:t>
      </w:r>
      <w:r w:rsidR="00F70415" w:rsidRPr="00500856">
        <w:rPr>
          <w:rFonts w:ascii="Times New Roman" w:hAnsi="Times New Roman"/>
          <w:sz w:val="20"/>
          <w:lang w:val="es-CO"/>
        </w:rPr>
        <w:t>” Lipton</w:t>
      </w:r>
      <w:r w:rsidRPr="00500856">
        <w:rPr>
          <w:rFonts w:ascii="Times New Roman" w:hAnsi="Times New Roman"/>
          <w:sz w:val="20"/>
          <w:lang w:val="es-CO"/>
        </w:rPr>
        <w:t xml:space="preserve">, 2018): no es posible explicar directamente por qué clasificaron una transacción como fraude. Esto es incompatible con el debido proceso: si un cliente interpone tutela, el banco debe explicar la decisión con variables concretas [11]. </w:t>
      </w:r>
      <w:r w:rsidRPr="00F70415">
        <w:rPr>
          <w:rFonts w:ascii="Times New Roman" w:hAnsi="Times New Roman"/>
          <w:sz w:val="20"/>
          <w:lang w:val="es-CO"/>
        </w:rPr>
        <w:t>La solución es XAI:</w:t>
      </w:r>
    </w:p>
    <w:p w14:paraId="1015A3C1" w14:textId="7767A5E2" w:rsidR="00FE21DF" w:rsidRPr="00500856" w:rsidRDefault="00000000">
      <w:pPr>
        <w:spacing w:before="60" w:after="60"/>
        <w:jc w:val="both"/>
        <w:rPr>
          <w:lang w:val="es-CO"/>
        </w:rPr>
      </w:pPr>
      <w:r w:rsidRPr="00500856">
        <w:rPr>
          <w:rFonts w:ascii="Times New Roman" w:hAnsi="Times New Roman"/>
          <w:sz w:val="18"/>
          <w:lang w:val="es-CO"/>
        </w:rPr>
        <w:t>• SHAP: basado en teoría de juegos cooperativa (Premio Nobel [46]), asigna contribución exacta de cada variable a cada predicción individual. Permite responder: "Esta transacción fue bloqueada porque el monto ($2.340.000) supera en 3,2</w:t>
      </w:r>
      <w:r>
        <w:rPr>
          <w:rFonts w:ascii="Times New Roman" w:hAnsi="Times New Roman"/>
          <w:sz w:val="18"/>
        </w:rPr>
        <w:t>σ</w:t>
      </w:r>
      <w:r w:rsidRPr="00500856">
        <w:rPr>
          <w:rFonts w:ascii="Times New Roman" w:hAnsi="Times New Roman"/>
          <w:sz w:val="18"/>
          <w:lang w:val="es-CO"/>
        </w:rPr>
        <w:t xml:space="preserve"> el historial del usuario y el balance de origen quedó en cero".</w:t>
      </w:r>
      <w:r w:rsidRPr="00500856">
        <w:rPr>
          <w:rFonts w:ascii="Times New Roman" w:hAnsi="Times New Roman"/>
          <w:sz w:val="18"/>
          <w:lang w:val="es-CO"/>
        </w:rPr>
        <w:br/>
        <w:t xml:space="preserve">• LIME (Local Interpretable Model-Agnostic </w:t>
      </w:r>
      <w:r w:rsidR="00F70415" w:rsidRPr="00500856">
        <w:rPr>
          <w:rFonts w:ascii="Times New Roman" w:hAnsi="Times New Roman"/>
          <w:sz w:val="18"/>
          <w:lang w:val="es-CO"/>
        </w:rPr>
        <w:t>Explanations Ribeiro</w:t>
      </w:r>
      <w:r w:rsidRPr="00500856">
        <w:rPr>
          <w:rFonts w:ascii="Times New Roman" w:hAnsi="Times New Roman"/>
          <w:sz w:val="18"/>
          <w:lang w:val="es-CO"/>
        </w:rPr>
        <w:t xml:space="preserve"> et al., KDD 2016): aproxima localmente el comportamiento del modelo opaco con un modelo lineal interpretable, generando explicaciones comprensibles para usuarios no técnicos, analistas de riesgo y jueces de tutela.</w:t>
      </w:r>
    </w:p>
    <w:p w14:paraId="2937DE4F" w14:textId="77777777" w:rsidR="00FE21DF" w:rsidRPr="00500856" w:rsidRDefault="00000000">
      <w:pPr>
        <w:pStyle w:val="Ttulo1"/>
        <w:rPr>
          <w:lang w:val="es-CO"/>
        </w:rPr>
      </w:pPr>
      <w:r w:rsidRPr="00500856">
        <w:rPr>
          <w:rFonts w:ascii="Times New Roman" w:hAnsi="Times New Roman"/>
          <w:sz w:val="24"/>
          <w:lang w:val="es-CO"/>
        </w:rPr>
        <w:t>7. CONCLUSIONES</w:t>
      </w:r>
    </w:p>
    <w:p w14:paraId="5F584335" w14:textId="65502EF4" w:rsidR="00FE21DF" w:rsidRPr="00500856" w:rsidRDefault="00000000">
      <w:pPr>
        <w:spacing w:before="60" w:after="60"/>
        <w:jc w:val="both"/>
        <w:rPr>
          <w:lang w:val="es-CO"/>
        </w:rPr>
      </w:pPr>
      <w:r w:rsidRPr="00500856">
        <w:rPr>
          <w:rFonts w:ascii="Times New Roman" w:hAnsi="Times New Roman"/>
          <w:sz w:val="20"/>
          <w:lang w:val="es-CO"/>
        </w:rPr>
        <w:t xml:space="preserve">1. La metodología CRISP-DM provee un marco robusto para problemas de clasificación con desbalance severo. El tratamiento correcto </w:t>
      </w:r>
      <w:r w:rsidR="00F70415" w:rsidRPr="00500856">
        <w:rPr>
          <w:rFonts w:ascii="Times New Roman" w:hAnsi="Times New Roman"/>
          <w:sz w:val="20"/>
          <w:lang w:val="es-CO"/>
        </w:rPr>
        <w:t>de data</w:t>
      </w:r>
      <w:r w:rsidRPr="00500856">
        <w:rPr>
          <w:rFonts w:ascii="Times New Roman" w:hAnsi="Times New Roman"/>
          <w:sz w:val="20"/>
          <w:lang w:val="es-CO"/>
        </w:rPr>
        <w:t xml:space="preserve"> leakage [26] y la selección de métrica objetivo (GN vs Accuracy) son determinantes para obtener resultados válidos en producción.</w:t>
      </w:r>
      <w:r w:rsidRPr="00500856">
        <w:rPr>
          <w:rFonts w:ascii="Times New Roman" w:hAnsi="Times New Roman"/>
          <w:sz w:val="20"/>
          <w:lang w:val="es-CO"/>
        </w:rPr>
        <w:br/>
      </w:r>
      <w:r w:rsidRPr="00500856">
        <w:rPr>
          <w:rFonts w:ascii="Times New Roman" w:hAnsi="Times New Roman"/>
          <w:sz w:val="20"/>
          <w:lang w:val="es-CO"/>
        </w:rPr>
        <w:br/>
        <w:t>2. Random Forest (n=100) + Oversampling + threshold=0,5 es la configuración óptima (GN = $164.000, AUC = 1,0000, TP=1.640, FP=0). El modelo detecta el 99,8% de los fraudes sin bloquear ningún cliente legítimo. Oversampling conserva todos los datos originales; n=100 árboles es suficiente para convergencia [37]; threshold=0,5 es el punto de equilibrio óptimo bajo la función de costo $I/$C = 3,03 [7].</w:t>
      </w:r>
      <w:r w:rsidRPr="00500856">
        <w:rPr>
          <w:rFonts w:ascii="Times New Roman" w:hAnsi="Times New Roman"/>
          <w:sz w:val="20"/>
          <w:lang w:val="es-CO"/>
        </w:rPr>
        <w:br/>
      </w:r>
      <w:r w:rsidRPr="00500856">
        <w:rPr>
          <w:rFonts w:ascii="Times New Roman" w:hAnsi="Times New Roman"/>
          <w:sz w:val="20"/>
          <w:lang w:val="es-CO"/>
        </w:rPr>
        <w:br/>
        <w:t>3. La Regresión Logística tiene GN negativa en todas las configuraciones por sus límites de decisión lineales [30], pero es insustituible como modelo interpretable para reportes regulatorios ante la SFC [12].</w:t>
      </w:r>
      <w:r w:rsidRPr="00500856">
        <w:rPr>
          <w:rFonts w:ascii="Times New Roman" w:hAnsi="Times New Roman"/>
          <w:sz w:val="20"/>
          <w:lang w:val="es-CO"/>
        </w:rPr>
        <w:br/>
      </w:r>
      <w:r w:rsidRPr="00500856">
        <w:rPr>
          <w:rFonts w:ascii="Times New Roman" w:hAnsi="Times New Roman"/>
          <w:sz w:val="20"/>
          <w:lang w:val="es-CO"/>
        </w:rPr>
        <w:br/>
        <w:t>4. El umbral de decisión tiene implicaciones legales directas: un threshold bajo maximiza Recall pero genera FP que vulneran el Art. 15 CN [11]; threshold=0,5 y 0,78 priorizan Precision, protegiendo a los clientes legítimos y cumpliendo la Circular SFC 029/2014 [24].</w:t>
      </w:r>
      <w:r w:rsidRPr="00500856">
        <w:rPr>
          <w:rFonts w:ascii="Times New Roman" w:hAnsi="Times New Roman"/>
          <w:sz w:val="20"/>
          <w:lang w:val="es-CO"/>
        </w:rPr>
        <w:br/>
      </w:r>
      <w:r w:rsidRPr="00500856">
        <w:rPr>
          <w:rFonts w:ascii="Times New Roman" w:hAnsi="Times New Roman"/>
          <w:sz w:val="20"/>
          <w:lang w:val="es-CO"/>
        </w:rPr>
        <w:br/>
        <w:t>5. La implementación de XAI (SHAP/LIME) no es opcional: es requerimiento de debido proceso ante la Corte Constitucional [11] y exigencia operativa para que los analistas de riesgo puedan auditar el sistema [13][14].</w:t>
      </w:r>
      <w:r w:rsidRPr="00500856">
        <w:rPr>
          <w:rFonts w:ascii="Times New Roman" w:hAnsi="Times New Roman"/>
          <w:sz w:val="20"/>
          <w:lang w:val="es-CO"/>
        </w:rPr>
        <w:br/>
      </w:r>
      <w:r w:rsidRPr="00500856">
        <w:rPr>
          <w:rFonts w:ascii="Times New Roman" w:hAnsi="Times New Roman"/>
          <w:sz w:val="20"/>
          <w:lang w:val="es-CO"/>
        </w:rPr>
        <w:br/>
        <w:t>6. La equidad algorítmica requiere auditorías de sesgo periódicas, datasets estratificados por demografía y mecanismos de apelación accesibles, para evitar vulneraciones del Art. 13 y Art. 15 CN con grupos thin-file y poblaciones vulnerables [21][25].</w:t>
      </w:r>
    </w:p>
    <w:p w14:paraId="58171F2B" w14:textId="77777777" w:rsidR="00FE21DF" w:rsidRPr="00500856" w:rsidRDefault="00000000">
      <w:pPr>
        <w:pStyle w:val="Ttulo1"/>
        <w:rPr>
          <w:lang w:val="es-CO"/>
        </w:rPr>
      </w:pPr>
      <w:r w:rsidRPr="00500856">
        <w:rPr>
          <w:rFonts w:ascii="Times New Roman" w:hAnsi="Times New Roman"/>
          <w:sz w:val="24"/>
          <w:lang w:val="es-CO"/>
        </w:rPr>
        <w:lastRenderedPageBreak/>
        <w:t>REFERENCIAS</w:t>
      </w:r>
    </w:p>
    <w:p w14:paraId="2F57E7FC" w14:textId="77777777" w:rsidR="00FE21DF" w:rsidRPr="00500856" w:rsidRDefault="00000000">
      <w:pPr>
        <w:spacing w:after="60"/>
        <w:ind w:left="283" w:hanging="283"/>
        <w:jc w:val="both"/>
        <w:rPr>
          <w:lang w:val="es-CO"/>
        </w:rPr>
      </w:pPr>
      <w:r>
        <w:rPr>
          <w:rFonts w:ascii="Times New Roman" w:hAnsi="Times New Roman"/>
          <w:sz w:val="16"/>
        </w:rPr>
        <w:t xml:space="preserve">[1] Nilson Report. (2023). Global card fraud losses 2022: USD 33.5 billion. </w:t>
      </w:r>
      <w:r w:rsidRPr="00500856">
        <w:rPr>
          <w:rFonts w:ascii="Times New Roman" w:hAnsi="Times New Roman"/>
          <w:sz w:val="16"/>
          <w:lang w:val="es-CO"/>
        </w:rPr>
        <w:t>Issue 1229.</w:t>
      </w:r>
    </w:p>
    <w:p w14:paraId="5A6B6E29" w14:textId="77777777" w:rsidR="00FE21DF" w:rsidRDefault="00000000">
      <w:pPr>
        <w:spacing w:after="60"/>
        <w:ind w:left="283" w:hanging="283"/>
        <w:jc w:val="both"/>
      </w:pPr>
      <w:r w:rsidRPr="00500856">
        <w:rPr>
          <w:rFonts w:ascii="Times New Roman" w:hAnsi="Times New Roman"/>
          <w:sz w:val="16"/>
          <w:lang w:val="es-CO"/>
        </w:rPr>
        <w:t xml:space="preserve">[2] Decreto 1674 de 2021. SARLAFT 4.0. Ministerio de Hacienda y Crédito Público. </w:t>
      </w:r>
      <w:r>
        <w:rPr>
          <w:rFonts w:ascii="Times New Roman" w:hAnsi="Times New Roman"/>
          <w:sz w:val="16"/>
        </w:rPr>
        <w:t>Colombia.</w:t>
      </w:r>
    </w:p>
    <w:p w14:paraId="666DFCE6" w14:textId="77777777" w:rsidR="00FE21DF" w:rsidRDefault="00000000">
      <w:pPr>
        <w:spacing w:after="60"/>
        <w:ind w:left="283" w:hanging="283"/>
        <w:jc w:val="both"/>
      </w:pPr>
      <w:r>
        <w:rPr>
          <w:rFonts w:ascii="Times New Roman" w:hAnsi="Times New Roman"/>
          <w:sz w:val="16"/>
        </w:rPr>
        <w:t>[3] P. Chapman, J. Clinton, R. Kerber, T. Khabaza, T. Reinartz, C. Shearer, and R. Wirth, "CRISP-DM 1.0: Step-by-step data mining guide," SPSS Inc., 2000.</w:t>
      </w:r>
    </w:p>
    <w:p w14:paraId="248BF3E0" w14:textId="77777777" w:rsidR="00FE21DF" w:rsidRDefault="00000000">
      <w:pPr>
        <w:spacing w:after="60"/>
        <w:ind w:left="283" w:hanging="283"/>
        <w:jc w:val="both"/>
      </w:pPr>
      <w:r>
        <w:rPr>
          <w:rFonts w:ascii="Times New Roman" w:hAnsi="Times New Roman"/>
          <w:sz w:val="16"/>
        </w:rPr>
        <w:t>[4] N. V. Chawla, K. W. Bowyer, L. O. Hall, and W. P. Kegelmeyer, "SMOTE: Synthetic Minority Over-sampling Technique," J. Artif. Intell. Res., vol. 16, pp. 321–357, 2002.</w:t>
      </w:r>
    </w:p>
    <w:p w14:paraId="28179691" w14:textId="77777777" w:rsidR="00FE21DF" w:rsidRDefault="00000000">
      <w:pPr>
        <w:spacing w:after="60"/>
        <w:ind w:left="283" w:hanging="283"/>
        <w:jc w:val="both"/>
      </w:pPr>
      <w:r>
        <w:rPr>
          <w:rFonts w:ascii="Times New Roman" w:hAnsi="Times New Roman"/>
          <w:sz w:val="16"/>
        </w:rPr>
        <w:t>[5] L. Breiman, "Random forests," Mach. Learn., vol. 45, no. 1, pp. 5–32, 2001. https://doi.org/10.1023/A:1010933404324</w:t>
      </w:r>
    </w:p>
    <w:p w14:paraId="2BF80960" w14:textId="77777777" w:rsidR="00FE21DF" w:rsidRDefault="00000000">
      <w:pPr>
        <w:spacing w:after="60"/>
        <w:ind w:left="283" w:hanging="283"/>
        <w:jc w:val="both"/>
      </w:pPr>
      <w:r>
        <w:rPr>
          <w:rFonts w:ascii="Times New Roman" w:hAnsi="Times New Roman"/>
          <w:sz w:val="16"/>
        </w:rPr>
        <w:t>[6] L. Prokhorenkova, G. Gusev, A. Vorobev, A. V. Dorogush, and A. Gulin, "CatBoost: unbiased boosting with categorical features," NeurIPS, vol. 31, 2018.</w:t>
      </w:r>
    </w:p>
    <w:p w14:paraId="658C7367" w14:textId="77777777" w:rsidR="00FE21DF" w:rsidRDefault="00000000">
      <w:pPr>
        <w:spacing w:after="60"/>
        <w:ind w:left="283" w:hanging="283"/>
        <w:jc w:val="both"/>
      </w:pPr>
      <w:r>
        <w:rPr>
          <w:rFonts w:ascii="Times New Roman" w:hAnsi="Times New Roman"/>
          <w:sz w:val="16"/>
        </w:rPr>
        <w:t>[7] C. Elkan, "The foundations of cost-sensitive learning," in Proc. IJCAI-01, pp. 973–978, 2001.</w:t>
      </w:r>
    </w:p>
    <w:p w14:paraId="583413DA" w14:textId="77777777" w:rsidR="00FE21DF" w:rsidRDefault="00000000">
      <w:pPr>
        <w:spacing w:after="60"/>
        <w:ind w:left="283" w:hanging="283"/>
        <w:jc w:val="both"/>
      </w:pPr>
      <w:r>
        <w:rPr>
          <w:rFonts w:ascii="Times New Roman" w:hAnsi="Times New Roman"/>
          <w:sz w:val="16"/>
        </w:rPr>
        <w:t>[8] Código Penal Colombiano. Arts. 246, 316, 323, 327. Ley 599 de 2000.</w:t>
      </w:r>
    </w:p>
    <w:p w14:paraId="60EA7F70" w14:textId="1599BFBE" w:rsidR="00FE21DF" w:rsidRPr="00500856" w:rsidRDefault="00000000">
      <w:pPr>
        <w:spacing w:after="60"/>
        <w:ind w:left="283" w:hanging="283"/>
        <w:jc w:val="both"/>
        <w:rPr>
          <w:lang w:val="es-CO"/>
        </w:rPr>
      </w:pPr>
      <w:r w:rsidRPr="00500856">
        <w:rPr>
          <w:rFonts w:ascii="Times New Roman" w:hAnsi="Times New Roman"/>
          <w:sz w:val="16"/>
          <w:lang w:val="es-CO"/>
        </w:rPr>
        <w:t>[9] Código Civil Colombiano. Art. 2341  Responsabilidad civil extracontractual. Ley 57 de 1887.</w:t>
      </w:r>
    </w:p>
    <w:p w14:paraId="1F27E573" w14:textId="77777777" w:rsidR="00FE21DF" w:rsidRPr="00500856" w:rsidRDefault="00000000">
      <w:pPr>
        <w:spacing w:after="60"/>
        <w:ind w:left="283" w:hanging="283"/>
        <w:jc w:val="both"/>
        <w:rPr>
          <w:lang w:val="es-CO"/>
        </w:rPr>
      </w:pPr>
      <w:r w:rsidRPr="00500856">
        <w:rPr>
          <w:rFonts w:ascii="Times New Roman" w:hAnsi="Times New Roman"/>
          <w:sz w:val="16"/>
          <w:lang w:val="es-CO"/>
        </w:rPr>
        <w:t>[10] Constitución Política de Colombia. (1991). Arts. 13 y 15. Bogotá: Imprenta Nacional.</w:t>
      </w:r>
    </w:p>
    <w:p w14:paraId="589A269F" w14:textId="77777777" w:rsidR="00FE21DF" w:rsidRDefault="00000000">
      <w:pPr>
        <w:spacing w:after="60"/>
        <w:ind w:left="283" w:hanging="283"/>
        <w:jc w:val="both"/>
      </w:pPr>
      <w:r w:rsidRPr="00500856">
        <w:rPr>
          <w:rFonts w:ascii="Times New Roman" w:hAnsi="Times New Roman"/>
          <w:sz w:val="16"/>
          <w:lang w:val="es-CO"/>
        </w:rPr>
        <w:t xml:space="preserve">[11] Corte Constitucional de Colombia. (2022). Sentencia T-255/22. </w:t>
      </w:r>
      <w:r>
        <w:rPr>
          <w:rFonts w:ascii="Times New Roman" w:hAnsi="Times New Roman"/>
          <w:sz w:val="16"/>
        </w:rPr>
        <w:t>M.P.: Diana Fajardo Rivera.</w:t>
      </w:r>
    </w:p>
    <w:p w14:paraId="2CC8844B" w14:textId="77777777" w:rsidR="00FE21DF" w:rsidRDefault="00000000">
      <w:pPr>
        <w:spacing w:after="60"/>
        <w:ind w:left="283" w:hanging="283"/>
        <w:jc w:val="both"/>
      </w:pPr>
      <w:r>
        <w:rPr>
          <w:rFonts w:ascii="Times New Roman" w:hAnsi="Times New Roman"/>
          <w:sz w:val="16"/>
        </w:rPr>
        <w:t>[12] ACM FAccT. (2020). Fairness, Accountability, and Transparency in Machine Learning. Proc. 2020 ACM Conference on FAccT. ACM Press.</w:t>
      </w:r>
    </w:p>
    <w:p w14:paraId="2388059E" w14:textId="77777777" w:rsidR="00FE21DF" w:rsidRDefault="00000000">
      <w:pPr>
        <w:spacing w:after="60"/>
        <w:ind w:left="283" w:hanging="283"/>
        <w:jc w:val="both"/>
      </w:pPr>
      <w:r>
        <w:rPr>
          <w:rFonts w:ascii="Times New Roman" w:hAnsi="Times New Roman"/>
          <w:sz w:val="16"/>
        </w:rPr>
        <w:t>[13] S. M. Lundberg and S.-I. Lee, "A unified approach to interpreting model predictions," NeurIPS, vol. 30, 2017.</w:t>
      </w:r>
    </w:p>
    <w:p w14:paraId="344C461B" w14:textId="77777777" w:rsidR="00FE21DF" w:rsidRDefault="00000000">
      <w:pPr>
        <w:spacing w:after="60"/>
        <w:ind w:left="283" w:hanging="283"/>
        <w:jc w:val="both"/>
      </w:pPr>
      <w:r>
        <w:rPr>
          <w:rFonts w:ascii="Times New Roman" w:hAnsi="Times New Roman"/>
          <w:sz w:val="16"/>
        </w:rPr>
        <w:t>[14] M. T. Ribeiro, S. Singh, and C. Guestrin, ""Why should I trust you?": Explaining the predictions of any classifier," in Proc. KDD 2016, pp. 1135–1144. ACM.</w:t>
      </w:r>
    </w:p>
    <w:p w14:paraId="6D2A4D20" w14:textId="77777777" w:rsidR="00FE21DF" w:rsidRDefault="00000000">
      <w:pPr>
        <w:spacing w:after="60"/>
        <w:ind w:left="283" w:hanging="283"/>
        <w:jc w:val="both"/>
      </w:pPr>
      <w:r>
        <w:rPr>
          <w:rFonts w:ascii="Times New Roman" w:hAnsi="Times New Roman"/>
          <w:sz w:val="16"/>
        </w:rPr>
        <w:t>[15] H. He and E. A. Garcia, "Learning from imbalanced data," IEEE Trans. Knowl. Data Eng., vol. 21, no. 9, pp. 1263–1284, 2009.</w:t>
      </w:r>
    </w:p>
    <w:p w14:paraId="0ADDC43B" w14:textId="77777777" w:rsidR="00FE21DF" w:rsidRDefault="00000000">
      <w:pPr>
        <w:spacing w:after="60"/>
        <w:ind w:left="283" w:hanging="283"/>
        <w:jc w:val="both"/>
      </w:pPr>
      <w:r>
        <w:rPr>
          <w:rFonts w:ascii="Times New Roman" w:hAnsi="Times New Roman"/>
          <w:sz w:val="16"/>
        </w:rPr>
        <w:t>[16] Euromonitor International. (2024). Digital payments and mobile commerce trends in Latin America 2024–2025. https://www.portal.euromonitor.com/magazine/homemain</w:t>
      </w:r>
    </w:p>
    <w:p w14:paraId="78BDCBCB" w14:textId="77777777" w:rsidR="00FE21DF" w:rsidRDefault="00000000">
      <w:pPr>
        <w:spacing w:after="60"/>
        <w:ind w:left="283" w:hanging="283"/>
        <w:jc w:val="both"/>
      </w:pPr>
      <w:r>
        <w:rPr>
          <w:rFonts w:ascii="Times New Roman" w:hAnsi="Times New Roman"/>
          <w:sz w:val="16"/>
        </w:rPr>
        <w:t>[17] PaySim. (2017). Synthetic Financial Datasets For Fraud Detection. Kaggle. https://www.kaggle.com/datasets/ealaxi/paysim1</w:t>
      </w:r>
    </w:p>
    <w:p w14:paraId="24402C13" w14:textId="77777777" w:rsidR="00FE21DF" w:rsidRDefault="00000000">
      <w:pPr>
        <w:spacing w:after="60"/>
        <w:ind w:left="283" w:hanging="283"/>
        <w:jc w:val="both"/>
      </w:pPr>
      <w:r>
        <w:rPr>
          <w:rFonts w:ascii="Times New Roman" w:hAnsi="Times New Roman"/>
          <w:sz w:val="16"/>
        </w:rPr>
        <w:t>[18] A. Dal Pozzolo, O. Caelen, Y.-A. Le Borgne, S. Waterschoot, and G. Bontempi, "Learned lessons in credit card fraud detection from a practitioner perspective," Expert Syst. Appl., vol. 41, no. 10, pp. 4915–4928, 2015.</w:t>
      </w:r>
    </w:p>
    <w:p w14:paraId="4CE79C29" w14:textId="465DA946" w:rsidR="00FE21DF" w:rsidRPr="00500856" w:rsidRDefault="00000000">
      <w:pPr>
        <w:spacing w:after="60"/>
        <w:ind w:left="283" w:hanging="283"/>
        <w:jc w:val="both"/>
        <w:rPr>
          <w:lang w:val="es-CO"/>
        </w:rPr>
      </w:pPr>
      <w:r>
        <w:rPr>
          <w:rFonts w:ascii="Times New Roman" w:hAnsi="Times New Roman"/>
          <w:sz w:val="16"/>
        </w:rPr>
        <w:t xml:space="preserve">[19] Euromonitor International  Passport. (2024). Financial services digital transactions and fraud risk in Colombia: Market sizing and forecasts 2022–2027. </w:t>
      </w:r>
      <w:r w:rsidRPr="00500856">
        <w:rPr>
          <w:rFonts w:ascii="Times New Roman" w:hAnsi="Times New Roman"/>
          <w:sz w:val="16"/>
          <w:lang w:val="es-CO"/>
        </w:rPr>
        <w:t>Passport Database. https://www.portal.euromonitor.com/magazine/homemain</w:t>
      </w:r>
    </w:p>
    <w:p w14:paraId="6C5EA0C4" w14:textId="77777777" w:rsidR="00FE21DF" w:rsidRPr="00500856" w:rsidRDefault="00000000">
      <w:pPr>
        <w:spacing w:after="60"/>
        <w:ind w:left="283" w:hanging="283"/>
        <w:jc w:val="both"/>
        <w:rPr>
          <w:lang w:val="es-CO"/>
        </w:rPr>
      </w:pPr>
      <w:r w:rsidRPr="00500856">
        <w:rPr>
          <w:rFonts w:ascii="Times New Roman" w:hAnsi="Times New Roman"/>
          <w:sz w:val="16"/>
          <w:lang w:val="es-CO"/>
        </w:rPr>
        <w:t>[20] Grupo Falabella. (2023). Memoria Anual 2023. Santiago de Chile: Grupo Falabella S.A. https://www.falabella.com/inversionistas</w:t>
      </w:r>
    </w:p>
    <w:p w14:paraId="054A712C" w14:textId="77777777" w:rsidR="00FE21DF" w:rsidRDefault="00000000">
      <w:pPr>
        <w:spacing w:after="60"/>
        <w:ind w:left="283" w:hanging="283"/>
        <w:jc w:val="both"/>
      </w:pPr>
      <w:r>
        <w:rPr>
          <w:rFonts w:ascii="Times New Roman" w:hAnsi="Times New Roman"/>
          <w:sz w:val="16"/>
        </w:rPr>
        <w:t>[21] Z. Obermeyer, B. Powers, C. Vogeli, and S. Mullainathan, "Dissecting racial bias in an algorithm used to manage the health of populations," Science, vol. 366, no. 6464, pp. 447–453, 2019.</w:t>
      </w:r>
    </w:p>
    <w:p w14:paraId="13E4631A" w14:textId="77777777" w:rsidR="00FE21DF" w:rsidRPr="00500856" w:rsidRDefault="00000000">
      <w:pPr>
        <w:spacing w:after="60"/>
        <w:ind w:left="283" w:hanging="283"/>
        <w:jc w:val="both"/>
        <w:rPr>
          <w:lang w:val="es-CO"/>
        </w:rPr>
      </w:pPr>
      <w:r w:rsidRPr="00500856">
        <w:rPr>
          <w:rFonts w:ascii="Times New Roman" w:hAnsi="Times New Roman"/>
          <w:sz w:val="16"/>
          <w:lang w:val="es-CO"/>
        </w:rPr>
        <w:t>[22] Ley 1266 de 2008. Hábeas Data Financiero. Colombia.</w:t>
      </w:r>
    </w:p>
    <w:p w14:paraId="3BBAA62D" w14:textId="77777777" w:rsidR="00FE21DF" w:rsidRPr="00500856" w:rsidRDefault="00000000">
      <w:pPr>
        <w:spacing w:after="60"/>
        <w:ind w:left="283" w:hanging="283"/>
        <w:jc w:val="both"/>
        <w:rPr>
          <w:lang w:val="es-CO"/>
        </w:rPr>
      </w:pPr>
      <w:r w:rsidRPr="00500856">
        <w:rPr>
          <w:rFonts w:ascii="Times New Roman" w:hAnsi="Times New Roman"/>
          <w:sz w:val="16"/>
          <w:lang w:val="es-CO"/>
        </w:rPr>
        <w:t>[23] Ley 1328 de 2009. Protección al consumidor financiero, Art. 3. Colombia.</w:t>
      </w:r>
    </w:p>
    <w:p w14:paraId="0285DC00" w14:textId="77777777" w:rsidR="00FE21DF" w:rsidRPr="00500856" w:rsidRDefault="00000000">
      <w:pPr>
        <w:spacing w:after="60"/>
        <w:ind w:left="283" w:hanging="283"/>
        <w:jc w:val="both"/>
        <w:rPr>
          <w:lang w:val="es-CO"/>
        </w:rPr>
      </w:pPr>
      <w:r w:rsidRPr="00500856">
        <w:rPr>
          <w:rFonts w:ascii="Times New Roman" w:hAnsi="Times New Roman"/>
          <w:sz w:val="16"/>
          <w:lang w:val="es-CO"/>
        </w:rPr>
        <w:t>[24] Circular Externa SFC 029/2014 y actualizaciones 2024. Superintendencia Financiera de Colombia.</w:t>
      </w:r>
    </w:p>
    <w:p w14:paraId="6455A2B2" w14:textId="77777777" w:rsidR="00FE21DF" w:rsidRDefault="00000000">
      <w:pPr>
        <w:spacing w:after="60"/>
        <w:ind w:left="283" w:hanging="283"/>
        <w:jc w:val="both"/>
      </w:pPr>
      <w:r>
        <w:rPr>
          <w:rFonts w:ascii="Times New Roman" w:hAnsi="Times New Roman"/>
          <w:sz w:val="16"/>
        </w:rPr>
        <w:t>[25] V. Eubanks, Automating Inequality: How High-Tech Tools Profile, Police, and Punish the Poor. St. Martin's Press, 2018.</w:t>
      </w:r>
    </w:p>
    <w:p w14:paraId="444F776F" w14:textId="77777777" w:rsidR="00FE21DF" w:rsidRDefault="00000000">
      <w:pPr>
        <w:spacing w:after="60"/>
        <w:ind w:left="283" w:hanging="283"/>
        <w:jc w:val="both"/>
      </w:pPr>
      <w:r>
        <w:rPr>
          <w:rFonts w:ascii="Times New Roman" w:hAnsi="Times New Roman"/>
          <w:sz w:val="16"/>
        </w:rPr>
        <w:t>[26] S. Kaufman, S. Rosset, C. Perlich, and O. Stitelman, "Leakage in data mining: Formulation, detection, and avoidance," ACM TKDD, vol. 6, no. 4, pp. 1–21, 2012.</w:t>
      </w:r>
    </w:p>
    <w:p w14:paraId="37A5B5F7" w14:textId="77777777" w:rsidR="00FE21DF" w:rsidRDefault="00000000">
      <w:pPr>
        <w:spacing w:after="60"/>
        <w:ind w:left="283" w:hanging="283"/>
        <w:jc w:val="both"/>
      </w:pPr>
      <w:r>
        <w:rPr>
          <w:rFonts w:ascii="Times New Roman" w:hAnsi="Times New Roman"/>
          <w:sz w:val="16"/>
        </w:rPr>
        <w:t>[27] J. Han, M. Kamber, and J. Pei, Data Mining: Concepts and Techniques, 3rd ed. Morgan Kaufmann, 2011.</w:t>
      </w:r>
    </w:p>
    <w:p w14:paraId="6B4299FF" w14:textId="77777777" w:rsidR="00FE21DF" w:rsidRDefault="00000000">
      <w:pPr>
        <w:spacing w:after="60"/>
        <w:ind w:left="283" w:hanging="283"/>
        <w:jc w:val="both"/>
      </w:pPr>
      <w:r>
        <w:rPr>
          <w:rFonts w:ascii="Times New Roman" w:hAnsi="Times New Roman"/>
          <w:sz w:val="16"/>
        </w:rPr>
        <w:t>[28] P. Branco, L. Torgo, and R. P. Ribeiro, "A survey of predictive modeling on imbalanced domains," ACM Comput. Surv., vol. 49, no. 2, pp. 1–50, 2016. MDPI ISSN 2078-2489.</w:t>
      </w:r>
    </w:p>
    <w:p w14:paraId="751AC099" w14:textId="77777777" w:rsidR="00FE21DF" w:rsidRDefault="00000000">
      <w:pPr>
        <w:spacing w:after="60"/>
        <w:ind w:left="283" w:hanging="283"/>
        <w:jc w:val="both"/>
      </w:pPr>
      <w:r>
        <w:rPr>
          <w:rFonts w:ascii="Times New Roman" w:hAnsi="Times New Roman"/>
          <w:sz w:val="16"/>
        </w:rPr>
        <w:t>[29] J. W. Tukey, Exploratory Data Analysis. Addison-Wesley, 1977.</w:t>
      </w:r>
    </w:p>
    <w:p w14:paraId="1E5B9C41" w14:textId="77777777" w:rsidR="00FE21DF" w:rsidRDefault="00000000">
      <w:pPr>
        <w:spacing w:after="60"/>
        <w:ind w:left="283" w:hanging="283"/>
        <w:jc w:val="both"/>
      </w:pPr>
      <w:r>
        <w:rPr>
          <w:rFonts w:ascii="Times New Roman" w:hAnsi="Times New Roman"/>
          <w:sz w:val="16"/>
        </w:rPr>
        <w:t>[30] A. C. Bahnsen, D. Aouada, A. Stojanovic, and B. Ottersten, "Feature engineering strategies for credit card fraud detection," Expert Syst. Appl., vol. 51, pp. 134–142, 2016. https://doi.org/10.1016/j.eswa.2015.12.030</w:t>
      </w:r>
    </w:p>
    <w:p w14:paraId="3B862807" w14:textId="77777777" w:rsidR="00FE21DF" w:rsidRDefault="00000000">
      <w:pPr>
        <w:spacing w:after="60"/>
        <w:ind w:left="283" w:hanging="283"/>
        <w:jc w:val="both"/>
      </w:pPr>
      <w:r>
        <w:rPr>
          <w:rFonts w:ascii="Times New Roman" w:hAnsi="Times New Roman"/>
          <w:sz w:val="16"/>
        </w:rPr>
        <w:t>[31] E. López et al. (2022). Fraud detection patterns in synthetic financial datasets. Referencia del marco teórico del proyecto.</w:t>
      </w:r>
    </w:p>
    <w:p w14:paraId="24BA7A26" w14:textId="77777777" w:rsidR="00FE21DF" w:rsidRDefault="00000000">
      <w:pPr>
        <w:spacing w:after="60"/>
        <w:ind w:left="283" w:hanging="283"/>
        <w:jc w:val="both"/>
      </w:pPr>
      <w:r>
        <w:rPr>
          <w:rFonts w:ascii="Times New Roman" w:hAnsi="Times New Roman"/>
          <w:sz w:val="16"/>
        </w:rPr>
        <w:t>[32] K. W. Hipel and A. I. McLeod, Time Series Modelling of Water Resources and Environmental Systems. Elsevier, 1994.</w:t>
      </w:r>
    </w:p>
    <w:p w14:paraId="20ECC2F9" w14:textId="77777777" w:rsidR="00FE21DF" w:rsidRDefault="00000000">
      <w:pPr>
        <w:spacing w:after="60"/>
        <w:ind w:left="283" w:hanging="283"/>
        <w:jc w:val="both"/>
      </w:pPr>
      <w:r>
        <w:rPr>
          <w:rFonts w:ascii="Times New Roman" w:hAnsi="Times New Roman"/>
          <w:sz w:val="16"/>
        </w:rPr>
        <w:t>[33] A. Fernández, S. García, M. Galar, R. C. Prati, B. Krawczyk, and F. Herrera, Learning from Imbalanced Data Sets. Springer, 2018. https://doi.org/10.1007/978-3-319-98074-4</w:t>
      </w:r>
    </w:p>
    <w:p w14:paraId="360082A7" w14:textId="77777777" w:rsidR="00FE21DF" w:rsidRDefault="00000000">
      <w:pPr>
        <w:spacing w:after="60"/>
        <w:ind w:left="283" w:hanging="283"/>
        <w:jc w:val="both"/>
      </w:pPr>
      <w:r>
        <w:rPr>
          <w:rFonts w:ascii="Times New Roman" w:hAnsi="Times New Roman"/>
          <w:sz w:val="16"/>
        </w:rPr>
        <w:t>[34] D. W. Hosmer and S. Lemeshow, Applied Logistic Regression, 2nd ed. Wiley, 2000.</w:t>
      </w:r>
    </w:p>
    <w:p w14:paraId="4CA12359" w14:textId="77777777" w:rsidR="00FE21DF" w:rsidRDefault="00000000">
      <w:pPr>
        <w:spacing w:after="60"/>
        <w:ind w:left="283" w:hanging="283"/>
        <w:jc w:val="both"/>
      </w:pPr>
      <w:r>
        <w:rPr>
          <w:rFonts w:ascii="Times New Roman" w:hAnsi="Times New Roman"/>
          <w:sz w:val="16"/>
        </w:rPr>
        <w:t>[35] R. O. Duda, P. E. Hart, and D. G. Stork, Pattern Classification, 2nd ed. New York: Wiley-Interscience, 2001.</w:t>
      </w:r>
    </w:p>
    <w:p w14:paraId="5CD5EFA3" w14:textId="77777777" w:rsidR="00FE21DF" w:rsidRDefault="00000000">
      <w:pPr>
        <w:spacing w:after="60"/>
        <w:ind w:left="283" w:hanging="283"/>
        <w:jc w:val="both"/>
      </w:pPr>
      <w:r>
        <w:rPr>
          <w:rFonts w:ascii="Times New Roman" w:hAnsi="Times New Roman"/>
          <w:sz w:val="16"/>
        </w:rPr>
        <w:t>[36] J. F. Díez-Pastor, J. J. Rodríguez, C. García-Osorio, and L. I. Kuncheva, "Diversity techniques improve the performance of the best imbalance learning ensembles," Inf. Sci., vol. 325, pp. 98–117, 2015.</w:t>
      </w:r>
    </w:p>
    <w:p w14:paraId="1657260C" w14:textId="77777777" w:rsidR="00FE21DF" w:rsidRDefault="00000000">
      <w:pPr>
        <w:spacing w:after="60"/>
        <w:ind w:left="283" w:hanging="283"/>
        <w:jc w:val="both"/>
      </w:pPr>
      <w:r>
        <w:rPr>
          <w:rFonts w:ascii="Times New Roman" w:hAnsi="Times New Roman"/>
          <w:sz w:val="16"/>
        </w:rPr>
        <w:t>[37] T. M. Oshiro, P. S. Perez, and J. A. Baranauskas, "How many trees in a random forest?" in Proc. MLDM 2012, pp. 154–168. Springer.</w:t>
      </w:r>
    </w:p>
    <w:p w14:paraId="285B4811" w14:textId="77777777" w:rsidR="00FE21DF" w:rsidRDefault="00000000">
      <w:pPr>
        <w:spacing w:after="60"/>
        <w:ind w:left="283" w:hanging="283"/>
        <w:jc w:val="both"/>
      </w:pPr>
      <w:r>
        <w:rPr>
          <w:rFonts w:ascii="Times New Roman" w:hAnsi="Times New Roman"/>
          <w:sz w:val="16"/>
        </w:rPr>
        <w:t>[38] A. Cherif et al., "Credit card fraud detection in the era of disruptive technologies: A systematic review," arXiv:2303.06514, 2023.</w:t>
      </w:r>
    </w:p>
    <w:p w14:paraId="50E8865F" w14:textId="77777777" w:rsidR="00FE21DF" w:rsidRDefault="00000000">
      <w:pPr>
        <w:spacing w:after="60"/>
        <w:ind w:left="283" w:hanging="283"/>
        <w:jc w:val="both"/>
      </w:pPr>
      <w:r>
        <w:rPr>
          <w:rFonts w:ascii="Times New Roman" w:hAnsi="Times New Roman"/>
          <w:sz w:val="16"/>
        </w:rPr>
        <w:t>[39] IJSDR2401084. (2024). Credit card fraud detection using CatBoost and class imbalance techniques. International Journal of Scientific Development and Research, vol. 9, no. 1.</w:t>
      </w:r>
    </w:p>
    <w:p w14:paraId="0377CE52" w14:textId="77777777" w:rsidR="00FE21DF" w:rsidRDefault="00000000">
      <w:pPr>
        <w:spacing w:after="60"/>
        <w:ind w:left="283" w:hanging="283"/>
        <w:jc w:val="both"/>
      </w:pPr>
      <w:r>
        <w:rPr>
          <w:rFonts w:ascii="Times New Roman" w:hAnsi="Times New Roman"/>
          <w:sz w:val="16"/>
        </w:rPr>
        <w:t>[40] W. Zhang, Z. Xu, W. He, and Y. Li, "Credit fraud detection using CatBoost gradient boosting with optimized hyperparameters," ResearchGate ID: 349156860, 2022.</w:t>
      </w:r>
    </w:p>
    <w:p w14:paraId="2632D12B" w14:textId="77777777" w:rsidR="00FE21DF" w:rsidRDefault="00000000">
      <w:pPr>
        <w:spacing w:after="60"/>
        <w:ind w:left="283" w:hanging="283"/>
        <w:jc w:val="both"/>
      </w:pPr>
      <w:r>
        <w:rPr>
          <w:rFonts w:ascii="Times New Roman" w:hAnsi="Times New Roman"/>
          <w:sz w:val="16"/>
        </w:rPr>
        <w:t>[41] M. R. Islam and M. Chowdhury, "CatBoost for financial fraud detection," ResearchGate ID: 349156860, 2022.</w:t>
      </w:r>
    </w:p>
    <w:p w14:paraId="068F2D00" w14:textId="77777777" w:rsidR="00FE21DF" w:rsidRDefault="00000000">
      <w:pPr>
        <w:spacing w:after="60"/>
        <w:ind w:left="283" w:hanging="283"/>
        <w:jc w:val="both"/>
      </w:pPr>
      <w:r>
        <w:rPr>
          <w:rFonts w:ascii="Times New Roman" w:hAnsi="Times New Roman"/>
          <w:sz w:val="16"/>
        </w:rPr>
        <w:t>[42] J. Davis and M. Goadrich, "The relationship between precision-recall and ROC curves," in Proc. 23rd ICML, pp. 233–240. ACM, 2006.</w:t>
      </w:r>
    </w:p>
    <w:p w14:paraId="3DBE0C54" w14:textId="77777777" w:rsidR="00FE21DF" w:rsidRPr="00500856" w:rsidRDefault="00000000">
      <w:pPr>
        <w:spacing w:after="60"/>
        <w:ind w:left="283" w:hanging="283"/>
        <w:jc w:val="both"/>
        <w:rPr>
          <w:lang w:val="es-CO"/>
        </w:rPr>
      </w:pPr>
      <w:r>
        <w:rPr>
          <w:rFonts w:ascii="Times New Roman" w:hAnsi="Times New Roman"/>
          <w:sz w:val="16"/>
        </w:rPr>
        <w:t xml:space="preserve">[43] E. A. Lopez-Rojas, A. Elmir, and S. Axelsson, "PaySim: A financial mobile money simulator for fraud detection," in Proc. 28th EMSS 2016, pp. 249–255. </w:t>
      </w:r>
      <w:r w:rsidRPr="00500856">
        <w:rPr>
          <w:rFonts w:ascii="Times New Roman" w:hAnsi="Times New Roman"/>
          <w:sz w:val="16"/>
          <w:lang w:val="es-CO"/>
        </w:rPr>
        <w:t>DIME Univ. of Genoa.</w:t>
      </w:r>
    </w:p>
    <w:p w14:paraId="3EEBB640" w14:textId="77777777" w:rsidR="00FE21DF" w:rsidRPr="00500856" w:rsidRDefault="00000000">
      <w:pPr>
        <w:spacing w:after="60"/>
        <w:ind w:left="283" w:hanging="283"/>
        <w:jc w:val="both"/>
        <w:rPr>
          <w:lang w:val="es-CO"/>
        </w:rPr>
      </w:pPr>
      <w:r w:rsidRPr="00500856">
        <w:rPr>
          <w:rFonts w:ascii="Times New Roman" w:hAnsi="Times New Roman"/>
          <w:sz w:val="16"/>
          <w:lang w:val="es-CO"/>
        </w:rPr>
        <w:t>[44] Corte Suprema de Justicia de Colombia. (2020). Sentencia SC3146-2020. Sala de Casación Civil.</w:t>
      </w:r>
    </w:p>
    <w:p w14:paraId="73BB96E1" w14:textId="77777777" w:rsidR="00FE21DF" w:rsidRDefault="00000000">
      <w:pPr>
        <w:spacing w:after="60"/>
        <w:ind w:left="283" w:hanging="283"/>
        <w:jc w:val="both"/>
      </w:pPr>
      <w:r>
        <w:rPr>
          <w:rFonts w:ascii="Times New Roman" w:hAnsi="Times New Roman"/>
          <w:sz w:val="16"/>
        </w:rPr>
        <w:lastRenderedPageBreak/>
        <w:t>[45] Z. C. Lipton, "The mythos of model interpretability," Queue, vol. 16, no. 3, pp. 31–57, 2018.</w:t>
      </w:r>
    </w:p>
    <w:p w14:paraId="7E982993" w14:textId="77777777" w:rsidR="00FE21DF" w:rsidRPr="00500856" w:rsidRDefault="00000000">
      <w:pPr>
        <w:spacing w:after="60"/>
        <w:ind w:left="283" w:hanging="283"/>
        <w:jc w:val="both"/>
        <w:rPr>
          <w:lang w:val="es-CO"/>
        </w:rPr>
      </w:pPr>
      <w:r>
        <w:rPr>
          <w:rFonts w:ascii="Times New Roman" w:hAnsi="Times New Roman"/>
          <w:sz w:val="16"/>
        </w:rPr>
        <w:t xml:space="preserve">[46] L. S. Shapley, "A value for n-person games," Contributions to the Theory of Games, vol. 2, pp. 307–317. </w:t>
      </w:r>
      <w:r w:rsidRPr="00500856">
        <w:rPr>
          <w:rFonts w:ascii="Times New Roman" w:hAnsi="Times New Roman"/>
          <w:sz w:val="16"/>
          <w:lang w:val="es-CO"/>
        </w:rPr>
        <w:t>Princeton University Press, 1953.</w:t>
      </w:r>
    </w:p>
    <w:p w14:paraId="2E7FE5B6" w14:textId="77777777" w:rsidR="00FE21DF" w:rsidRPr="00500856" w:rsidRDefault="00000000">
      <w:pPr>
        <w:spacing w:after="60"/>
        <w:ind w:left="283" w:hanging="283"/>
        <w:jc w:val="both"/>
        <w:rPr>
          <w:lang w:val="es-CO"/>
        </w:rPr>
      </w:pPr>
      <w:r w:rsidRPr="00500856">
        <w:rPr>
          <w:rFonts w:ascii="Times New Roman" w:hAnsi="Times New Roman"/>
          <w:sz w:val="16"/>
          <w:lang w:val="es-CO"/>
        </w:rPr>
        <w:t>[47] Superintendencia Financiera de Colombia (SFC). Registro de entidades vigiladas. https://www.superfinanciera.gov.co/entidades-vigiladas</w:t>
      </w:r>
    </w:p>
    <w:sectPr w:rsidR="00FE21DF" w:rsidRPr="00500856" w:rsidSect="00034616">
      <w:type w:val="continuous"/>
      <w:pgSz w:w="12240" w:h="15840"/>
      <w:pgMar w:top="1417" w:right="1077" w:bottom="1417" w:left="1077"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03920069">
    <w:abstractNumId w:val="8"/>
  </w:num>
  <w:num w:numId="2" w16cid:durableId="952516717">
    <w:abstractNumId w:val="6"/>
  </w:num>
  <w:num w:numId="3" w16cid:durableId="392578978">
    <w:abstractNumId w:val="5"/>
  </w:num>
  <w:num w:numId="4" w16cid:durableId="214777690">
    <w:abstractNumId w:val="4"/>
  </w:num>
  <w:num w:numId="5" w16cid:durableId="450903221">
    <w:abstractNumId w:val="7"/>
  </w:num>
  <w:num w:numId="6" w16cid:durableId="1274752054">
    <w:abstractNumId w:val="3"/>
  </w:num>
  <w:num w:numId="7" w16cid:durableId="1601373742">
    <w:abstractNumId w:val="2"/>
  </w:num>
  <w:num w:numId="8" w16cid:durableId="2027294185">
    <w:abstractNumId w:val="1"/>
  </w:num>
  <w:num w:numId="9" w16cid:durableId="881986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E73"/>
    <w:rsid w:val="002537F4"/>
    <w:rsid w:val="0029639D"/>
    <w:rsid w:val="00326F90"/>
    <w:rsid w:val="00481EA9"/>
    <w:rsid w:val="004B413B"/>
    <w:rsid w:val="00500856"/>
    <w:rsid w:val="005636A6"/>
    <w:rsid w:val="00AA1D8D"/>
    <w:rsid w:val="00AD4439"/>
    <w:rsid w:val="00AF10A6"/>
    <w:rsid w:val="00B47730"/>
    <w:rsid w:val="00CB0664"/>
    <w:rsid w:val="00F55BBA"/>
    <w:rsid w:val="00F70415"/>
    <w:rsid w:val="00FC63E6"/>
    <w:rsid w:val="00FC693F"/>
    <w:rsid w:val="00FE21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95FB9"/>
  <w14:defaultImageDpi w14:val="300"/>
  <w15:docId w15:val="{31E356DF-2C15-4241-BF45-80378DEAB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9</Pages>
  <Words>4940</Words>
  <Characters>27175</Characters>
  <Application>Microsoft Office Word</Application>
  <DocSecurity>0</DocSecurity>
  <Lines>226</Lines>
  <Paragraphs>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Mateo Polanco Rodriguez</cp:lastModifiedBy>
  <cp:revision>4</cp:revision>
  <dcterms:created xsi:type="dcterms:W3CDTF">2013-12-23T23:15:00Z</dcterms:created>
  <dcterms:modified xsi:type="dcterms:W3CDTF">2026-04-10T19:58:00Z</dcterms:modified>
  <cp:category/>
</cp:coreProperties>
</file>