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E5C8A"/>
          <w:sz w:val="44"/>
        </w:rPr>
        <w:t>Entrega Académica</w:t>
        <w:br/>
        <w:t>Gold Standard y Selección del Motor OCR</w:t>
      </w:r>
    </w:p>
    <w:p>
      <w:pPr>
        <w:jc w:val="center"/>
      </w:pPr>
      <w:r>
        <w:rPr>
          <w:i/>
          <w:sz w:val="26"/>
        </w:rPr>
        <w:t>Proyecto SinergIA Lab — IDP para Documentos Corporativos Colombianos SECOP</w:t>
      </w:r>
    </w:p>
    <w:p/>
    <w:tbl>
      <w:tblPr>
        <w:tblW w:type="auto" w:w="0"/>
        <w:jc w:val="center"/>
        <w:tblLook w:firstColumn="1" w:firstRow="1" w:lastColumn="0" w:lastRow="0" w:noHBand="0" w:noVBand="1" w:val="04A0"/>
      </w:tblPr>
      <w:tblGrid>
        <w:gridCol w:w="4703"/>
        <w:gridCol w:w="4703"/>
      </w:tblGrid>
      <w:tr>
        <w:tc>
          <w:tcPr>
            <w:tcW w:type="dxa" w:w="4703"/>
          </w:tcPr>
          <w:p>
            <w:r/>
            <w:r>
              <w:rPr>
                <w:b/>
                <w:sz w:val="20"/>
              </w:rPr>
              <w:t>Institución</w:t>
            </w:r>
          </w:p>
        </w:tc>
        <w:tc>
          <w:tcPr>
            <w:tcW w:type="dxa" w:w="4703"/>
          </w:tcPr>
          <w:p>
            <w:r/>
            <w:r>
              <w:rPr>
                <w:sz w:val="20"/>
              </w:rPr>
              <w:t>Pontificia Universidad Javeriana</w:t>
            </w:r>
          </w:p>
        </w:tc>
      </w:tr>
      <w:tr>
        <w:tc>
          <w:tcPr>
            <w:tcW w:type="dxa" w:w="4703"/>
          </w:tcPr>
          <w:p>
            <w:r/>
            <w:r>
              <w:rPr>
                <w:b/>
                <w:sz w:val="20"/>
              </w:rPr>
              <w:t>Programa</w:t>
            </w:r>
          </w:p>
        </w:tc>
        <w:tc>
          <w:tcPr>
            <w:tcW w:type="dxa" w:w="4703"/>
          </w:tcPr>
          <w:p>
            <w:r/>
            <w:r>
              <w:rPr>
                <w:sz w:val="20"/>
              </w:rPr>
              <w:t>Especialización en Inteligencia Artificial — Ciclo 1 · 2026</w:t>
            </w:r>
          </w:p>
        </w:tc>
      </w:tr>
      <w:tr>
        <w:tc>
          <w:tcPr>
            <w:tcW w:type="dxa" w:w="4703"/>
          </w:tcPr>
          <w:p>
            <w:r/>
            <w:r>
              <w:rPr>
                <w:b/>
                <w:sz w:val="20"/>
              </w:rPr>
              <w:t>Fase CRISP-DM++</w:t>
            </w:r>
          </w:p>
        </w:tc>
        <w:tc>
          <w:tcPr>
            <w:tcW w:type="dxa" w:w="4703"/>
          </w:tcPr>
          <w:p>
            <w:r/>
            <w:r>
              <w:rPr>
                <w:sz w:val="20"/>
              </w:rPr>
              <w:t>2.1.1 — Selección del Motor OCR</w:t>
            </w:r>
          </w:p>
        </w:tc>
      </w:tr>
      <w:tr>
        <w:tc>
          <w:tcPr>
            <w:tcW w:type="dxa" w:w="4703"/>
          </w:tcPr>
          <w:p>
            <w:r/>
            <w:r>
              <w:rPr>
                <w:b/>
                <w:sz w:val="20"/>
              </w:rPr>
              <w:t>Fecha de entrega</w:t>
            </w:r>
          </w:p>
        </w:tc>
        <w:tc>
          <w:tcPr>
            <w:tcW w:type="dxa" w:w="4703"/>
          </w:tcPr>
          <w:p>
            <w:r/>
            <w:r>
              <w:rPr>
                <w:sz w:val="20"/>
              </w:rPr>
              <w:t>2026-04-20</w:t>
            </w:r>
          </w:p>
        </w:tc>
      </w:tr>
      <w:tr>
        <w:tc>
          <w:tcPr>
            <w:tcW w:type="dxa" w:w="4703"/>
          </w:tcPr>
          <w:p>
            <w:r/>
            <w:r>
              <w:rPr>
                <w:b/>
                <w:sz w:val="20"/>
              </w:rPr>
              <w:t>Notebook de referencia</w:t>
            </w:r>
          </w:p>
        </w:tc>
        <w:tc>
          <w:tcPr>
            <w:tcW w:type="dxa" w:w="4703"/>
          </w:tcPr>
          <w:p>
            <w:r/>
            <w:r>
              <w:rPr>
                <w:sz w:val="20"/>
              </w:rPr>
              <w:t>03_benchmark_ocr.ipynb</w:t>
            </w:r>
          </w:p>
        </w:tc>
      </w:tr>
      <w:tr>
        <w:tc>
          <w:tcPr>
            <w:tcW w:type="dxa" w:w="4703"/>
          </w:tcPr>
          <w:p>
            <w:r/>
            <w:r>
              <w:rPr>
                <w:b/>
                <w:sz w:val="20"/>
              </w:rPr>
              <w:t>Bitácora complementaria</w:t>
            </w:r>
          </w:p>
        </w:tc>
        <w:tc>
          <w:tcPr>
            <w:tcW w:type="dxa" w:w="4703"/>
          </w:tcPr>
          <w:p>
            <w:r/>
            <w:r>
              <w:rPr>
                <w:sz w:val="20"/>
              </w:rPr>
              <w:t>OCR_BENCHMARK.md</w:t>
            </w:r>
          </w:p>
        </w:tc>
      </w:tr>
    </w:tbl>
    <w:p>
      <w:r>
        <w:br w:type="page"/>
      </w:r>
    </w:p>
    <w:p>
      <w:pPr>
        <w:pStyle w:val="Heading1"/>
      </w:pPr>
      <w:r>
        <w:t>Resumen ejecutivo</w:t>
      </w:r>
    </w:p>
    <w:p>
      <w:r>
        <w:rPr>
          <w:sz w:val="22"/>
        </w:rPr>
        <w:t>Este documento consolida cinco preguntas centrales sobre la selección del motor de Reconocimiento Óptico de Caracteres (OCR) del proyecto:</w:t>
      </w:r>
    </w:p>
    <w:p>
      <w:pPr>
        <w:pStyle w:val="ListNumber"/>
      </w:pPr>
      <w:r>
        <w:t>¿Cómo se construyó el Gold Standard del proyecto?</w:t>
      </w:r>
    </w:p>
    <w:p>
      <w:pPr>
        <w:pStyle w:val="ListNumber"/>
      </w:pPr>
      <w:r>
        <w:t>¿Cuál es el propósito de ese Gold Standard?</w:t>
      </w:r>
    </w:p>
    <w:p>
      <w:pPr>
        <w:pStyle w:val="ListNumber"/>
      </w:pPr>
      <w:r>
        <w:t>¿Qué motores OCR se evaluaron y cuáles se descartaron?</w:t>
      </w:r>
    </w:p>
    <w:p>
      <w:pPr>
        <w:pStyle w:val="ListNumber"/>
      </w:pPr>
      <w:r>
        <w:t>¿Qué métricas cuantitativas se calcularon y qué mide cada una?</w:t>
      </w:r>
    </w:p>
    <w:p>
      <w:pPr>
        <w:pStyle w:val="ListNumber"/>
      </w:pPr>
      <w:r>
        <w:t>¿Qué motor se eligió y con qué justificación?</w:t>
      </w:r>
    </w:p>
    <w:p>
      <w:r>
        <w:rPr>
          <w:sz w:val="22"/>
        </w:rPr>
        <w:t>El diseño experimental se ejecutó sobre un Gold Standard de 15 documentos del corpus SECOP transcritos manualmente (36 páginas de texto humano). Se compararon dos motores OCR (EasyOCR y Tesseract) mediante cuatro métricas estándar. La decisión final se sustentó en una regla predefinida que garantiza objetividad metodológica.</w:t>
      </w:r>
    </w:p>
    <w:p>
      <w:r>
        <w:br w:type="page"/>
      </w:r>
    </w:p>
    <w:p>
      <w:pPr>
        <w:pStyle w:val="Heading1"/>
      </w:pPr>
      <w:r>
        <w:t>1. El Gold Standard: fundamento de la evaluación</w:t>
      </w:r>
    </w:p>
    <w:p>
      <w:pPr>
        <w:pStyle w:val="Heading2"/>
      </w:pPr>
      <w:r>
        <w:t>1.1 ¿Qué es un Gold Standard?</w:t>
      </w:r>
    </w:p>
    <w:p>
      <w:r>
        <w:rPr>
          <w:sz w:val="22"/>
        </w:rPr>
        <w:t>Para determinar si una herramienta automática funciona correctamente, se necesita un punto de referencia confiable. En Inteligencia Artificial, ese punto de referencia se denomina Gold Standard (también llamado Ground Truth o "verdad de referencia").</w:t>
      </w:r>
    </w:p>
    <w:p>
      <w:r>
        <w:rPr>
          <w:sz w:val="22"/>
        </w:rPr>
        <w:t>Una analogía ayuda a entenderlo: cuando se calibra una balanza, se pesan objetos con peso conocido (pesas patrón certificadas). Esas pesas son el gold standard de la balanza. Sin ellas, no se puede responder a la pregunta "¿qué tan precisa es esta balanza?". En este proyecto, el gold standard está compuesto por 15 documentos del corpus SECOP que un anotador humano leyó y transcribió carácter por carácter. Esa transcripción humana funciona como "la verdad" contra la cual se miden los motores OCR.</w:t>
      </w:r>
    </w:p>
    <w:p>
      <w:pPr>
        <w:pStyle w:val="Heading2"/>
      </w:pPr>
      <w:r>
        <w:t>1.2 Función del Gold Standard en las cuatro fases del proyecto</w:t>
      </w:r>
    </w:p>
    <w:p>
      <w:r>
        <w:rPr>
          <w:sz w:val="22"/>
        </w:rPr>
        <w:t>El gold cumple cuatro roles durante el ciclo de vida completo del proyecto:</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551"/>
            <w:shd w:fill="2E5C8A"/>
          </w:tcPr>
          <w:p>
            <w:r/>
            <w:r>
              <w:rPr>
                <w:b/>
                <w:color w:val="FFFFFF"/>
                <w:sz w:val="20"/>
              </w:rPr>
              <w:t>Rol</w:t>
            </w:r>
          </w:p>
        </w:tc>
        <w:tc>
          <w:tcPr>
            <w:tcW w:type="dxa" w:w="2835"/>
            <w:shd w:fill="2E5C8A"/>
          </w:tcPr>
          <w:p>
            <w:r/>
            <w:r>
              <w:rPr>
                <w:b/>
                <w:color w:val="FFFFFF"/>
                <w:sz w:val="20"/>
              </w:rPr>
              <w:t>Fase del proyecto</w:t>
            </w:r>
          </w:p>
        </w:tc>
        <w:tc>
          <w:tcPr>
            <w:tcW w:type="dxa" w:w="3969"/>
            <w:shd w:fill="2E5C8A"/>
          </w:tcPr>
          <w:p>
            <w:r/>
            <w:r>
              <w:rPr>
                <w:b/>
                <w:color w:val="FFFFFF"/>
                <w:sz w:val="20"/>
              </w:rPr>
              <w:t>Uso específico</w:t>
            </w:r>
          </w:p>
        </w:tc>
      </w:tr>
      <w:tr>
        <w:tc>
          <w:tcPr>
            <w:tcW w:type="dxa" w:w="2551"/>
          </w:tcPr>
          <w:p>
            <w:r/>
            <w:r>
              <w:rPr>
                <w:sz w:val="20"/>
              </w:rPr>
              <w:t>Benchmark OCR</w:t>
            </w:r>
          </w:p>
        </w:tc>
        <w:tc>
          <w:tcPr>
            <w:tcW w:type="dxa" w:w="2835"/>
          </w:tcPr>
          <w:p>
            <w:r/>
            <w:r>
              <w:rPr>
                <w:sz w:val="20"/>
              </w:rPr>
              <w:t>2.1.1 — Este documento</w:t>
            </w:r>
          </w:p>
        </w:tc>
        <w:tc>
          <w:tcPr>
            <w:tcW w:type="dxa" w:w="3969"/>
          </w:tcPr>
          <w:p>
            <w:r/>
            <w:r>
              <w:rPr>
                <w:sz w:val="20"/>
              </w:rPr>
              <w:t>Medir la calidad de cada motor OCR contra el texto humano de referencia</w:t>
            </w:r>
          </w:p>
        </w:tc>
      </w:tr>
      <w:tr>
        <w:tc>
          <w:tcPr>
            <w:tcW w:type="dxa" w:w="2551"/>
          </w:tcPr>
          <w:p>
            <w:r/>
            <w:r>
              <w:rPr>
                <w:sz w:val="20"/>
              </w:rPr>
              <w:t>Validación de pre-anotaciones</w:t>
            </w:r>
          </w:p>
        </w:tc>
        <w:tc>
          <w:tcPr>
            <w:tcW w:type="dxa" w:w="2835"/>
          </w:tcPr>
          <w:p>
            <w:r/>
            <w:r>
              <w:rPr>
                <w:sz w:val="20"/>
              </w:rPr>
              <w:t>2.2 — Weak Supervision RUT</w:t>
            </w:r>
          </w:p>
        </w:tc>
        <w:tc>
          <w:tcPr>
            <w:tcW w:type="dxa" w:w="3969"/>
          </w:tcPr>
          <w:p>
            <w:r/>
            <w:r>
              <w:rPr>
                <w:sz w:val="20"/>
              </w:rPr>
              <w:t>Verificar que las reglas regex extraen las mismas entidades que el humano</w:t>
            </w:r>
          </w:p>
        </w:tc>
      </w:tr>
      <w:tr>
        <w:tc>
          <w:tcPr>
            <w:tcW w:type="dxa" w:w="2551"/>
          </w:tcPr>
          <w:p>
            <w:r/>
            <w:r>
              <w:rPr>
                <w:sz w:val="20"/>
              </w:rPr>
              <w:t>Validación del corpus completo</w:t>
            </w:r>
          </w:p>
        </w:tc>
        <w:tc>
          <w:tcPr>
            <w:tcW w:type="dxa" w:w="2835"/>
          </w:tcPr>
          <w:p>
            <w:r/>
            <w:r>
              <w:rPr>
                <w:sz w:val="20"/>
              </w:rPr>
              <w:t>2.1.4 — Cierre de gaps OCR</w:t>
            </w:r>
          </w:p>
        </w:tc>
        <w:tc>
          <w:tcPr>
            <w:tcW w:type="dxa" w:w="3969"/>
          </w:tcPr>
          <w:p>
            <w:r/>
            <w:r>
              <w:rPr>
                <w:sz w:val="20"/>
              </w:rPr>
              <w:t>Confirmar que las 13,254 páginas finales mantienen la calidad medida</w:t>
            </w:r>
          </w:p>
        </w:tc>
      </w:tr>
      <w:tr>
        <w:tc>
          <w:tcPr>
            <w:tcW w:type="dxa" w:w="2551"/>
          </w:tcPr>
          <w:p>
            <w:r/>
            <w:r>
              <w:rPr>
                <w:sz w:val="20"/>
              </w:rPr>
              <w:t>Evaluación de F1 del modelo NER</w:t>
            </w:r>
          </w:p>
        </w:tc>
        <w:tc>
          <w:tcPr>
            <w:tcW w:type="dxa" w:w="2835"/>
          </w:tcPr>
          <w:p>
            <w:r/>
            <w:r>
              <w:rPr>
                <w:sz w:val="20"/>
              </w:rPr>
              <w:t>Fase 4 — Evaluación final</w:t>
            </w:r>
          </w:p>
        </w:tc>
        <w:tc>
          <w:tcPr>
            <w:tcW w:type="dxa" w:w="3969"/>
          </w:tcPr>
          <w:p>
            <w:r/>
            <w:r>
              <w:rPr>
                <w:sz w:val="20"/>
              </w:rPr>
              <w:t>Comparar la extracción del modelo fine-tuneado contra etiquetas humanas</w:t>
            </w:r>
          </w:p>
        </w:tc>
      </w:tr>
    </w:tbl>
    <w:p>
      <w:r>
        <w:rPr>
          <w:sz w:val="22"/>
        </w:rPr>
        <w:t>Sin un gold estándar, la pregunta "¿funciona este sistema?" no tiene respuesta cuantificable. Este es el principio metodológico central de CRISP-DM (Wirth &amp; Hipp, 2000) y de toda evaluación experimental rigurosa en procesamiento de lenguaje natural (Manning, Raghavan &amp; Schütze, 2008).</w:t>
      </w:r>
    </w:p>
    <w:p>
      <w:pPr>
        <w:pStyle w:val="Heading2"/>
      </w:pPr>
      <w:r>
        <w:t>1.3 Diseño muestral: 15 documentos representativos</w:t>
      </w:r>
    </w:p>
    <w:p>
      <w:r>
        <w:rPr>
          <w:sz w:val="22"/>
        </w:rPr>
        <w:t>La composición de los 15 documentos se definió antes de ejecutar el benchmark, bajo tres principios metodológicos:</w:t>
      </w:r>
    </w:p>
    <w:p>
      <w:pPr>
        <w:pStyle w:val="ListBullet"/>
      </w:pPr>
      <w:r>
        <w:t>Cobertura tipológica: representar las 4 tipologías del corpus (Cédula, RUT, Póliza, Cámara de Comercio).</w:t>
      </w:r>
    </w:p>
    <w:p>
      <w:pPr>
        <w:pStyle w:val="ListBullet"/>
      </w:pPr>
      <w:r>
        <w:t>Estratificación por calidad visual en Cédulas: incluir tanto ejemplos nítidos como ruidosos para medir sensibilidad del OCR al ruido visual.</w:t>
      </w:r>
    </w:p>
    <w:p>
      <w:pPr>
        <w:pStyle w:val="ListBullet"/>
      </w:pPr>
      <w:r>
        <w:t>Representatividad de escaneados: el gold contiene únicamente documentos escaneados, que son los que el OCR debe resolver (los documentos digitales van directo a PyMuPDF).</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2268"/>
            <w:shd w:fill="2E5C8A"/>
          </w:tcPr>
          <w:p>
            <w:r/>
            <w:r>
              <w:rPr>
                <w:b/>
                <w:color w:val="FFFFFF"/>
                <w:sz w:val="20"/>
              </w:rPr>
              <w:t>Tipología</w:t>
            </w:r>
          </w:p>
        </w:tc>
        <w:tc>
          <w:tcPr>
            <w:tcW w:type="dxa" w:w="2551"/>
            <w:shd w:fill="2E5C8A"/>
          </w:tcPr>
          <w:p>
            <w:r/>
            <w:r>
              <w:rPr>
                <w:b/>
                <w:color w:val="FFFFFF"/>
                <w:sz w:val="20"/>
              </w:rPr>
              <w:t>Total docs</w:t>
            </w:r>
          </w:p>
        </w:tc>
        <w:tc>
          <w:tcPr>
            <w:tcW w:type="dxa" w:w="4535"/>
            <w:shd w:fill="2E5C8A"/>
          </w:tcPr>
          <w:p>
            <w:r/>
            <w:r>
              <w:rPr>
                <w:b/>
                <w:color w:val="FFFFFF"/>
                <w:sz w:val="20"/>
              </w:rPr>
              <w:t>Criterio de selección</w:t>
            </w:r>
          </w:p>
        </w:tc>
      </w:tr>
      <w:tr>
        <w:tc>
          <w:tcPr>
            <w:tcW w:type="dxa" w:w="2268"/>
          </w:tcPr>
          <w:p>
            <w:r/>
            <w:r>
              <w:rPr>
                <w:sz w:val="20"/>
              </w:rPr>
              <w:t>Cédula</w:t>
            </w:r>
          </w:p>
        </w:tc>
        <w:tc>
          <w:tcPr>
            <w:tcW w:type="dxa" w:w="2551"/>
          </w:tcPr>
          <w:p>
            <w:r/>
            <w:r>
              <w:rPr>
                <w:sz w:val="20"/>
              </w:rPr>
              <w:t>6 (estratificada)</w:t>
            </w:r>
          </w:p>
        </w:tc>
        <w:tc>
          <w:tcPr>
            <w:tcW w:type="dxa" w:w="4535"/>
          </w:tcPr>
          <w:p>
            <w:r/>
            <w:r>
              <w:rPr>
                <w:sz w:val="20"/>
              </w:rPr>
              <w:t>3 alta calidad (blur_score ≥ Q3) + 3 ruidosas (blur_score ≤ Q1)</w:t>
            </w:r>
          </w:p>
        </w:tc>
      </w:tr>
      <w:tr>
        <w:tc>
          <w:tcPr>
            <w:tcW w:type="dxa" w:w="2268"/>
          </w:tcPr>
          <w:p>
            <w:r/>
            <w:r>
              <w:rPr>
                <w:sz w:val="20"/>
              </w:rPr>
              <w:t>RUT</w:t>
            </w:r>
          </w:p>
        </w:tc>
        <w:tc>
          <w:tcPr>
            <w:tcW w:type="dxa" w:w="2551"/>
          </w:tcPr>
          <w:p>
            <w:r/>
            <w:r>
              <w:rPr>
                <w:sz w:val="20"/>
              </w:rPr>
              <w:t>3</w:t>
            </w:r>
          </w:p>
        </w:tc>
        <w:tc>
          <w:tcPr>
            <w:tcW w:type="dxa" w:w="4535"/>
          </w:tcPr>
          <w:p>
            <w:r/>
            <w:r>
              <w:rPr>
                <w:sz w:val="20"/>
              </w:rPr>
              <w:t>Escaneados (minoría dentro del RUT: 11.5% del total)</w:t>
            </w:r>
          </w:p>
        </w:tc>
      </w:tr>
      <w:tr>
        <w:tc>
          <w:tcPr>
            <w:tcW w:type="dxa" w:w="2268"/>
          </w:tcPr>
          <w:p>
            <w:r/>
            <w:r>
              <w:rPr>
                <w:sz w:val="20"/>
              </w:rPr>
              <w:t>Póliza</w:t>
            </w:r>
          </w:p>
        </w:tc>
        <w:tc>
          <w:tcPr>
            <w:tcW w:type="dxa" w:w="2551"/>
          </w:tcPr>
          <w:p>
            <w:r/>
            <w:r>
              <w:rPr>
                <w:sz w:val="20"/>
              </w:rPr>
              <w:t>3</w:t>
            </w:r>
          </w:p>
        </w:tc>
        <w:tc>
          <w:tcPr>
            <w:tcW w:type="dxa" w:w="4535"/>
          </w:tcPr>
          <w:p>
            <w:r/>
            <w:r>
              <w:rPr>
                <w:sz w:val="20"/>
              </w:rPr>
              <w:t>Escaneadas (27% del corpus de Pólizas)</w:t>
            </w:r>
          </w:p>
        </w:tc>
      </w:tr>
      <w:tr>
        <w:tc>
          <w:tcPr>
            <w:tcW w:type="dxa" w:w="2268"/>
          </w:tcPr>
          <w:p>
            <w:r/>
            <w:r>
              <w:rPr>
                <w:sz w:val="20"/>
              </w:rPr>
              <w:t>Cámara de Comercio</w:t>
            </w:r>
          </w:p>
        </w:tc>
        <w:tc>
          <w:tcPr>
            <w:tcW w:type="dxa" w:w="2551"/>
          </w:tcPr>
          <w:p>
            <w:r/>
            <w:r>
              <w:rPr>
                <w:sz w:val="20"/>
              </w:rPr>
              <w:t>3</w:t>
            </w:r>
          </w:p>
        </w:tc>
        <w:tc>
          <w:tcPr>
            <w:tcW w:type="dxa" w:w="4535"/>
          </w:tcPr>
          <w:p>
            <w:r/>
            <w:r>
              <w:rPr>
                <w:sz w:val="20"/>
              </w:rPr>
              <w:t>Escaneadas (9% del corpus de CC)</w:t>
            </w:r>
          </w:p>
        </w:tc>
      </w:tr>
      <w:tr>
        <w:tc>
          <w:tcPr>
            <w:tcW w:type="dxa" w:w="2268"/>
          </w:tcPr>
          <w:p>
            <w:r/>
            <w:r>
              <w:rPr>
                <w:sz w:val="20"/>
              </w:rPr>
              <w:t>TOTAL</w:t>
            </w:r>
          </w:p>
        </w:tc>
        <w:tc>
          <w:tcPr>
            <w:tcW w:type="dxa" w:w="2551"/>
          </w:tcPr>
          <w:p>
            <w:r/>
            <w:r>
              <w:rPr>
                <w:sz w:val="20"/>
              </w:rPr>
              <w:t>15 documentos (36 páginas transcritas)</w:t>
            </w:r>
          </w:p>
        </w:tc>
        <w:tc>
          <w:tcPr>
            <w:tcW w:type="dxa" w:w="4535"/>
          </w:tcPr>
          <w:p>
            <w:r/>
            <w:r>
              <w:rPr>
                <w:sz w:val="20"/>
              </w:rPr>
            </w:r>
          </w:p>
        </w:tc>
      </w:tr>
    </w:tbl>
    <w:p>
      <w:pPr>
        <w:jc w:val="center"/>
      </w:pPr>
      <w:r>
        <w:drawing>
          <wp:inline xmlns:a="http://schemas.openxmlformats.org/drawingml/2006/main" xmlns:pic="http://schemas.openxmlformats.org/drawingml/2006/picture">
            <wp:extent cx="5400000" cy="2713235"/>
            <wp:docPr id="1" name="Picture 1"/>
            <wp:cNvGraphicFramePr>
              <a:graphicFrameLocks noChangeAspect="1"/>
            </wp:cNvGraphicFramePr>
            <a:graphic>
              <a:graphicData uri="http://schemas.openxmlformats.org/drawingml/2006/picture">
                <pic:pic>
                  <pic:nvPicPr>
                    <pic:cNvPr id="0" name="fig_gold_composicion.png"/>
                    <pic:cNvPicPr/>
                  </pic:nvPicPr>
                  <pic:blipFill>
                    <a:blip r:embed="rId9"/>
                    <a:stretch>
                      <a:fillRect/>
                    </a:stretch>
                  </pic:blipFill>
                  <pic:spPr>
                    <a:xfrm>
                      <a:off x="0" y="0"/>
                      <a:ext cx="5400000" cy="2713235"/>
                    </a:xfrm>
                    <a:prstGeom prst="rect"/>
                  </pic:spPr>
                </pic:pic>
              </a:graphicData>
            </a:graphic>
          </wp:inline>
        </w:drawing>
      </w:r>
    </w:p>
    <w:p>
      <w:pPr>
        <w:jc w:val="center"/>
      </w:pPr>
      <w:r>
        <w:rPr>
          <w:i/>
          <w:color w:val="555555"/>
          <w:sz w:val="18"/>
        </w:rPr>
        <w:t>Figura 1. Composición del Gold Standard: 15 documentos distribuidos en 4 tipologías. Las 6 Cédulas se subdividen en 3 nítidas y 3 ruidosas para capturar la variabilidad de calidad visual del corpus.</w:t>
      </w:r>
    </w:p>
    <w:p>
      <w:pPr>
        <w:pStyle w:val="Heading2"/>
      </w:pPr>
      <w:r>
        <w:t>1.4 Metodología de construcción del Gold (5 pasos)</w:t>
      </w:r>
    </w:p>
    <w:p>
      <w:pPr>
        <w:jc w:val="center"/>
      </w:pPr>
      <w:r>
        <w:drawing>
          <wp:inline xmlns:a="http://schemas.openxmlformats.org/drawingml/2006/main" xmlns:pic="http://schemas.openxmlformats.org/drawingml/2006/picture">
            <wp:extent cx="6120000" cy="1756547"/>
            <wp:docPr id="2" name="Picture 2"/>
            <wp:cNvGraphicFramePr>
              <a:graphicFrameLocks noChangeAspect="1"/>
            </wp:cNvGraphicFramePr>
            <a:graphic>
              <a:graphicData uri="http://schemas.openxmlformats.org/drawingml/2006/picture">
                <pic:pic>
                  <pic:nvPicPr>
                    <pic:cNvPr id="0" name="fig_gold_proceso.png"/>
                    <pic:cNvPicPr/>
                  </pic:nvPicPr>
                  <pic:blipFill>
                    <a:blip r:embed="rId10"/>
                    <a:stretch>
                      <a:fillRect/>
                    </a:stretch>
                  </pic:blipFill>
                  <pic:spPr>
                    <a:xfrm>
                      <a:off x="0" y="0"/>
                      <a:ext cx="6120000" cy="1756547"/>
                    </a:xfrm>
                    <a:prstGeom prst="rect"/>
                  </pic:spPr>
                </pic:pic>
              </a:graphicData>
            </a:graphic>
          </wp:inline>
        </w:drawing>
      </w:r>
    </w:p>
    <w:p>
      <w:pPr>
        <w:jc w:val="center"/>
      </w:pPr>
      <w:r>
        <w:rPr>
          <w:i/>
          <w:color w:val="555555"/>
          <w:sz w:val="18"/>
        </w:rPr>
        <w:t>Figura 2. Flujo metodológico de construcción del Gold Standard.</w:t>
      </w:r>
    </w:p>
    <w:p>
      <w:r>
        <w:rPr>
          <w:b/>
          <w:sz w:val="22"/>
        </w:rPr>
        <w:t xml:space="preserve">Paso 1. Selección reproducible. </w:t>
      </w:r>
      <w:r>
        <w:rPr>
          <w:sz w:val="22"/>
        </w:rPr>
        <w:t xml:space="preserve">Se programó un muestreo aleatorio con semilla fija </w:t>
      </w:r>
      <w:r>
        <w:rPr>
          <w:rFonts w:ascii="Consolas" w:hAnsi="Consolas"/>
          <w:sz w:val="20"/>
        </w:rPr>
        <w:t>random_state=42</w:t>
      </w:r>
      <w:r>
        <w:rPr>
          <w:sz w:val="22"/>
        </w:rPr>
        <w:t>. Esto garantiza que cualquier persona que ejecute el notebook obtenga exactamente la misma selección de 15 documentos. La reproducibilidad es un requisito básico del método científico.</w:t>
      </w:r>
    </w:p>
    <w:p>
      <w:r>
        <w:rPr>
          <w:b/>
          <w:sz w:val="22"/>
        </w:rPr>
        <w:t xml:space="preserve">Paso 2. Resolución del "mojibake" mediante índice MD5. </w:t>
      </w:r>
      <w:r>
        <w:rPr>
          <w:sz w:val="22"/>
        </w:rPr>
        <w:t xml:space="preserve">Los nombres de archivo del SECOP presentaban caracteres alterados por conversión de codificación Windows CP-1252 → UTF-8 fallida (ejemplo: </w:t>
      </w:r>
      <w:r>
        <w:rPr>
          <w:rFonts w:ascii="Consolas" w:hAnsi="Consolas"/>
          <w:sz w:val="20"/>
        </w:rPr>
        <w:t>CÃÂ©dula</w:t>
      </w:r>
      <w:r>
        <w:rPr>
          <w:sz w:val="22"/>
        </w:rPr>
        <w:t xml:space="preserve"> en lugar de </w:t>
      </w:r>
      <w:r>
        <w:rPr>
          <w:rFonts w:ascii="Consolas" w:hAnsi="Consolas"/>
          <w:sz w:val="20"/>
        </w:rPr>
        <w:t>Cédula</w:t>
      </w:r>
      <w:r>
        <w:rPr>
          <w:sz w:val="22"/>
        </w:rPr>
        <w:t>). Para evitar confusiones, se construyó un índice con el hash MD5 de cada PDF. El MD5 es una huella digital única del contenido del archivo — dos archivos con el mismo MD5 son idénticos aunque se llamen distinto. Este índice detectó además una reclasificación importante: un documento archivado como Cámara de Comercio era en realidad una Cédula.</w:t>
      </w:r>
    </w:p>
    <w:p>
      <w:r>
        <w:rPr>
          <w:b/>
          <w:sz w:val="22"/>
        </w:rPr>
        <w:t xml:space="preserve">Paso 3. Transcripción humana literal. </w:t>
      </w:r>
      <w:r>
        <w:rPr>
          <w:sz w:val="22"/>
        </w:rPr>
        <w:t>Para cada documento seleccionado se generó una plantilla de texto vacía. Un anotador humano (miembro del equipo) transcribió literalmente todo el texto visible, carácter por carácter, sin corregir errores del original (ortografía, acentos, abreviaciones). Se respeta el orden natural de lectura: arriba-abajo, izquierda-derecha.</w:t>
      </w:r>
    </w:p>
    <w:p>
      <w:r>
        <w:rPr>
          <w:b/>
          <w:sz w:val="22"/>
        </w:rPr>
        <w:t xml:space="preserve">Paso 4. Validación de completitud. </w:t>
      </w:r>
      <w:r>
        <w:rPr>
          <w:sz w:val="22"/>
        </w:rPr>
        <w:t>Un script verifica que los 15 archivos de transcripción están listos y tienen longitud razonable antes de ejecutar el benchmark. Las 15 transcripciones tienen entre 447 caracteres (Cédulas, 1 página) y 16,157 caracteres (Cámaras de Comercio, 4 páginas). Estas longitudes son coherentes con la naturaleza de cada tipo documental.</w:t>
      </w:r>
    </w:p>
    <w:p>
      <w:r>
        <w:rPr>
          <w:b/>
          <w:sz w:val="22"/>
        </w:rPr>
        <w:t xml:space="preserve">Paso 5. Congelación inmutable. </w:t>
      </w:r>
      <w:r>
        <w:rPr>
          <w:sz w:val="22"/>
        </w:rPr>
        <w:t xml:space="preserve">Una vez validado, el gold se marca como inmutable. Las transcripciones no se modifican, la semilla está fija, y una bandera </w:t>
      </w:r>
      <w:r>
        <w:rPr>
          <w:rFonts w:ascii="Consolas" w:hAnsi="Consolas"/>
          <w:sz w:val="20"/>
        </w:rPr>
        <w:t>RESAMPLE=False</w:t>
      </w:r>
      <w:r>
        <w:rPr>
          <w:sz w:val="22"/>
        </w:rPr>
        <w:t xml:space="preserve"> previene re-muestreos accidentales. Esto garantiza que cualquier medición posterior contra este gold es comparable con mediciones anteriores.</w:t>
      </w:r>
    </w:p>
    <w:p>
      <w:pPr>
        <w:pStyle w:val="Heading2"/>
      </w:pPr>
      <w:r>
        <w:t>1.5 Justificación del tamaño muestral (15 documentos)</w:t>
      </w:r>
    </w:p>
    <w:p>
      <w:r>
        <w:rPr>
          <w:sz w:val="22"/>
        </w:rPr>
        <w:t>La decisión de emplear una gold seed reducida (15 documentos) en lugar del gold extendido de 70 documentos originalmente planteado en el plan se sustenta en tres razones:</w:t>
      </w:r>
    </w:p>
    <w:p>
      <w:pPr>
        <w:pStyle w:val="ListBullet"/>
      </w:pPr>
      <w:r>
        <w:t>Costo humano proporcional al valor agregado: transcribir 70 documentos multipágina tomaría aproximadamente 50 horas de trabajo humano; 15 documentos toman ~8 horas. Para una decisión arquitectural (selección de motor OCR), 15 es suficiente.</w:t>
      </w:r>
    </w:p>
    <w:p>
      <w:pPr>
        <w:pStyle w:val="ListBullet"/>
      </w:pPr>
      <w:r>
        <w:t>Suficiencia estadística para la decisión: 15 documentos × 2 motores = 30 puntos de datos. La varianza entre motores es lo suficientemente alta como para detectar al ganador con 15 documentos (los resultados confirmaron esta suposición con diferencias de CER de hasta 0.64).</w:t>
      </w:r>
    </w:p>
    <w:p>
      <w:pPr>
        <w:pStyle w:val="ListBullet"/>
      </w:pPr>
      <w:r>
        <w:t>Gold extendido diferido a Fase 4: el gold de 70 documentos con Cohen's Kappa ≥ 0.85 se construirá antes de evaluar el modelo NER, donde la precisión estadística entre anotadores sí es crítica para reportar F1 defendibles académicamente.</w:t>
      </w:r>
    </w:p>
    <w:p>
      <w:r>
        <w:br w:type="page"/>
      </w:r>
    </w:p>
    <w:p>
      <w:pPr>
        <w:pStyle w:val="Heading1"/>
      </w:pPr>
      <w:r>
        <w:t>2. Motores OCR: selección de candidatos</w:t>
      </w:r>
    </w:p>
    <w:p>
      <w:pPr>
        <w:pStyle w:val="Heading2"/>
      </w:pPr>
      <w:r>
        <w:t>2.1 Introducción al OCR</w:t>
      </w:r>
    </w:p>
    <w:p>
      <w:r>
        <w:rPr>
          <w:sz w:val="22"/>
        </w:rPr>
        <w:t>OCR (Optical Character Recognition — Reconocimiento Óptico de Caracteres) es la tecnología que permite a una computadora interpretar texto contenido en imágenes. Cuando un documento se escanea, el sistema lo percibe como píxeles; el OCR convierte esos píxeles en caracteres procesables por software (NITs, fechas, nombres, etc.).</w:t>
      </w:r>
    </w:p>
    <w:p>
      <w:r>
        <w:rPr>
          <w:sz w:val="22"/>
        </w:rPr>
        <w:t>Para este proyecto, el OCR es la única forma de recuperar información de los 416 documentos escaneados del corpus SECOP (el 41% del total). Sin un motor OCR adecuado, el 93% de las Cédulas serían invisibles para el sistema NER posterior.</w:t>
      </w:r>
    </w:p>
    <w:p>
      <w:pPr>
        <w:pStyle w:val="Heading2"/>
      </w:pPr>
      <w:r>
        <w:t>2.2 EasyOCR 1.7.2 — candidato principal</w:t>
      </w:r>
    </w:p>
    <w:p>
      <w:r>
        <w:rPr>
          <w:sz w:val="22"/>
        </w:rPr>
        <w:t>EasyOCR es una librería open-source desarrollada por JaidedAI, basada en una arquitectura de dos redes neuronales profundas que operan en cascada:</w:t>
      </w:r>
    </w:p>
    <w:p>
      <w:pPr>
        <w:pStyle w:val="ListBullet"/>
      </w:pPr>
      <w:r>
        <w:t>CRAFT (Character Region Awareness For Text detection): detecta regiones de texto a nivel de carácter individual, no de palabra. Esto permite procesar texto en layouts atípicos, curvos o desordenados. Paper de referencia: Baek et al., CVPR 2019.</w:t>
      </w:r>
    </w:p>
    <w:p>
      <w:pPr>
        <w:pStyle w:val="ListBullet"/>
      </w:pPr>
      <w:r>
        <w:t>CRNN (Convolutional Recurrent Neural Network): reconoce el contenido textual dentro de cada región detectada. Combina CNN (extracción de características visuales) con RNN (secuenciación de caracteres). Paper de referencia: Shi, Bai &amp; Yao, IEEE TPAMI 2017.</w:t>
      </w:r>
    </w:p>
    <w:p>
      <w:r>
        <w:rPr>
          <w:sz w:val="22"/>
        </w:rPr>
        <w:t>Características prácticas:</w:t>
      </w:r>
    </w:p>
    <w:p>
      <w:pPr>
        <w:pStyle w:val="ListBullet"/>
      </w:pPr>
      <w:r>
        <w:t>Soporta más de 80 idiomas, incluido español.</w:t>
      </w:r>
    </w:p>
    <w:p>
      <w:pPr>
        <w:pStyle w:val="ListBullet"/>
      </w:pPr>
      <w:r>
        <w:t>Ejecuta en CPU (lento pero universal) o GPU (alto rendimiento).</w:t>
      </w:r>
    </w:p>
    <w:p>
      <w:pPr>
        <w:pStyle w:val="ListBullet"/>
      </w:pPr>
      <w:r>
        <w:t>Descarga del modelo una sola vez (~60 MB para español) y operación offline posterior.</w:t>
      </w:r>
    </w:p>
    <w:p>
      <w:pPr>
        <w:pStyle w:val="ListBullet"/>
      </w:pPr>
      <w:r>
        <w:t>Compatible con Python 3.12.</w:t>
      </w:r>
    </w:p>
    <w:p>
      <w:pPr>
        <w:pStyle w:val="Heading2"/>
      </w:pPr>
      <w:r>
        <w:t>2.3 Tesseract 5.5.0 — candidato comparador</w:t>
      </w:r>
    </w:p>
    <w:p>
      <w:r>
        <w:rPr>
          <w:sz w:val="22"/>
        </w:rPr>
        <w:t>Tesseract OCR Engine es el motor OCR open-source más longevo en uso. Desarrollado originalmente en HP Labs (1984-1994), liberado por Google en 2005, y mantenido por la comunidad desde entonces.</w:t>
      </w:r>
    </w:p>
    <w:p>
      <w:r>
        <w:rPr>
          <w:sz w:val="22"/>
        </w:rPr>
        <w:t>Desde la versión 4.0 (2018), Tesseract usa un clasificador LSTM (Long Short-Term Memory, una variante de red neuronal recurrente) para reconocer secuencias de caracteres. Paper de referencia: Smith, ICDAR 2007.</w:t>
      </w:r>
    </w:p>
    <w:p>
      <w:r>
        <w:rPr>
          <w:sz w:val="22"/>
        </w:rPr>
        <w:t>Características prácticas:</w:t>
      </w:r>
    </w:p>
    <w:p>
      <w:pPr>
        <w:pStyle w:val="ListBullet"/>
      </w:pPr>
      <w:r>
        <w:t>Requiere descarga manual del modelo de español (spa.traineddata, ~30 MB).</w:t>
      </w:r>
    </w:p>
    <w:p>
      <w:pPr>
        <w:pStyle w:val="ListBullet"/>
      </w:pPr>
      <w:r>
        <w:t>Produce texto plano; los bounding boxes son opcionales.</w:t>
      </w:r>
    </w:p>
    <w:p>
      <w:pPr>
        <w:pStyle w:val="ListBullet"/>
      </w:pPr>
      <w:r>
        <w:t>Muy rápido en CPU (5-10 veces más rápido que EasyOCR).</w:t>
      </w:r>
    </w:p>
    <w:p>
      <w:pPr>
        <w:pStyle w:val="ListBullet"/>
      </w:pPr>
      <w:r>
        <w:t>Compatible con Python 3.12.</w:t>
      </w:r>
    </w:p>
    <w:p>
      <w:pPr>
        <w:pStyle w:val="Heading2"/>
      </w:pPr>
      <w:r>
        <w:t>2.4 Motores descartados: PaddleOCR y Donut</w:t>
      </w:r>
    </w:p>
    <w:p>
      <w:r>
        <w:rPr>
          <w:sz w:val="22"/>
        </w:rPr>
        <w:t>Durante la fase de diseño del proyecto se consideraron dos motores adicionales que se descartaron antes del benchmark formal por razones técnicas bien fundamentadas.</w:t>
      </w:r>
    </w:p>
    <w:p>
      <w:pPr>
        <w:pStyle w:val="Heading3"/>
      </w:pPr>
      <w:r>
        <w:t>2.4.1 PaddleOCR (Baidu) — descartado por incompatibilidad técnica</w:t>
      </w:r>
    </w:p>
    <w:p>
      <w:r>
        <w:rPr>
          <w:sz w:val="22"/>
        </w:rPr>
        <w:t>Razones del descarte:</w:t>
      </w:r>
    </w:p>
    <w:p>
      <w:pPr>
        <w:pStyle w:val="ListBullet"/>
      </w:pPr>
      <w:r>
        <w:t>Incompatibilidad con Python 3.12: PaddleOCR depende de PaddlePaddle, cuyo binding oficial requería (al momento del benchmark, abril 2026) versiones de Python ≤3.11. El entorno del proyecto usa Python 3.12.10, lo cual hace inviable la instalación sin un downgrade completo del entorno.</w:t>
      </w:r>
    </w:p>
    <w:p>
      <w:pPr>
        <w:pStyle w:val="ListBullet"/>
      </w:pPr>
      <w:r>
        <w:t>Costo de migración injustificable: hacer downgrade del entorno completo para acomodar un solo motor OCR, cuando EasyOCR (con arquitectura similar basada en deep learning) es compatible, representaría trabajo innecesario.</w:t>
      </w:r>
    </w:p>
    <w:p>
      <w:pPr>
        <w:pStyle w:val="ListBullet"/>
      </w:pPr>
      <w:r>
        <w:t>Rendimiento esperado similar a EasyOCR: según benchmarks públicos, PaddleOCR y EasyOCR tienen rendimientos comparables en español. No se esperaba una ventaja diferencial que justificara el costo de integración.</w:t>
      </w:r>
    </w:p>
    <w:p>
      <w:r>
        <w:rPr>
          <w:sz w:val="22"/>
        </w:rPr>
        <w:t>Decisión: descartado sin evaluación empírica. Puede reconsiderarse si se actualiza la compatibilidad de la librería con Python 3.12.</w:t>
      </w:r>
    </w:p>
    <w:p>
      <w:pPr>
        <w:pStyle w:val="Heading3"/>
      </w:pPr>
      <w:r>
        <w:t>2.4.2 Donut (NAVER, 2022) — descartado por arquitectura no intercambiable</w:t>
      </w:r>
    </w:p>
    <w:p>
      <w:r>
        <w:rPr>
          <w:sz w:val="22"/>
        </w:rPr>
        <w:t>Donut (Document Understanding Transformer) es un modelo Visión-Lenguaje (VLM) end-to-end desarrollado por NAVER. Paper de referencia: Kim et al., ECCV 2022.</w:t>
      </w:r>
    </w:p>
    <w:p>
      <w:r>
        <w:rPr>
          <w:sz w:val="22"/>
        </w:rPr>
        <w:t>Donut no es un motor OCR en sentido clásico. Recibe la imagen completa de un documento y produce directamente una estructura JSON con los campos extraídos, omitiendo la etapa de transcripción literal del texto.</w:t>
      </w:r>
    </w:p>
    <w:p>
      <w:r>
        <w:rPr>
          <w:sz w:val="22"/>
        </w:rPr>
        <w:t>Razones del descarte como motor OCR del proyecto:</w:t>
      </w:r>
    </w:p>
    <w:p>
      <w:pPr>
        <w:pStyle w:val="ListBullet"/>
      </w:pPr>
      <w:r>
        <w:t>Entrenado principalmente en inglés: Donut requeriría fine-tuning específico para documentos colombianos en español, lo cual requiere datos anotados y cómputo sustancial.</w:t>
      </w:r>
    </w:p>
    <w:p>
      <w:pPr>
        <w:pStyle w:val="ListBullet"/>
      </w:pPr>
      <w:r>
        <w:t>Un modelo por tipo documental: Donut está diseñado para manejar un tipo de documento a la vez (un Donut entrenado para facturas, otro para recibos, etc.). Nuestro corpus tiene 4 tipologías radicalmente distintas (Cédula, RUT, Póliza, CC), lo cual requeriría entrenar 4 modelos Donut especializados.</w:t>
      </w:r>
    </w:p>
    <w:p>
      <w:pPr>
        <w:pStyle w:val="ListBullet"/>
      </w:pPr>
      <w:r>
        <w:t>Inferencia lenta en CPU: aproximadamente 10× más lento que EasyOCR sin acceso a GPU, lo cual hace inviable el procesamiento de 1,678 páginas del corpus.</w:t>
      </w:r>
    </w:p>
    <w:p>
      <w:pPr>
        <w:pStyle w:val="ListBullet"/>
      </w:pPr>
      <w:r>
        <w:t>Incompatibilidad con el flujo downstream: Donut produce JSON estructurado, no texto OCR. Esto rompe el pipeline posterior que espera texto plano para las Labeling Functions (§2.2), chunking (§2.3) y fine-tuning del NER (Fase 3).</w:t>
      </w:r>
    </w:p>
    <w:p>
      <w:pPr>
        <w:pStyle w:val="ListBullet"/>
      </w:pPr>
      <w:r>
        <w:t>No es intercambiable con OCR clásico: Donut sustituiría el flujo completo OCR + LFs + NER por un modelo unificado. Es una decisión arquitectural mayor, no una elección de motor.</w:t>
      </w:r>
    </w:p>
    <w:p>
      <w:r>
        <w:rPr>
          <w:sz w:val="22"/>
        </w:rPr>
        <w:t>Decisión: Donut se descartó como motor OCR del proyecto. Se mantiene registrado como alternativa arquitectural (ALT-1) en el plan, revisitable únicamente para la tipología Cédula en Fase 4 si el F1 NER con el pipeline actual no alcanza los umbrales objetivo.</w:t>
      </w:r>
    </w:p>
    <w:p>
      <w:pPr>
        <w:pStyle w:val="Heading2"/>
      </w:pPr>
      <w:r>
        <w:t>2.5 Tabla comparativa integral de los motores considerados</w:t>
      </w:r>
    </w:p>
    <w:p>
      <w:r>
        <w:rPr>
          <w:sz w:val="22"/>
        </w:rPr>
        <w:t>La siguiente tabla consolida los 5 motores evaluados durante la fase de diseño, incluyendo los 2 que entraron al benchmark formal (EasyOCR y Tesseract), los 2 descartados antes del benchmark (PaddleOCR y Donut) y PyMuPDF (extractor complementario para PDFs digitales).</w:t>
      </w:r>
    </w:p>
    <w:tbl>
      <w:tblPr>
        <w:tblStyle w:val="LightGrid-Accent1"/>
        <w:tblW w:type="auto" w:w="0"/>
        <w:tblLayout w:type="fixed"/>
        <w:tblLook w:firstColumn="1" w:firstRow="1" w:lastColumn="0" w:lastRow="0" w:noHBand="0" w:noVBand="1" w:val="04A0"/>
      </w:tblPr>
      <w:tblGrid>
        <w:gridCol w:w="1568"/>
        <w:gridCol w:w="1568"/>
        <w:gridCol w:w="1568"/>
        <w:gridCol w:w="1568"/>
        <w:gridCol w:w="1568"/>
        <w:gridCol w:w="1568"/>
      </w:tblGrid>
      <w:tr>
        <w:tc>
          <w:tcPr>
            <w:tcW w:type="dxa" w:w="1587"/>
            <w:shd w:fill="2E5C8A"/>
          </w:tcPr>
          <w:p>
            <w:r/>
            <w:r>
              <w:rPr>
                <w:b/>
                <w:color w:val="FFFFFF"/>
                <w:sz w:val="20"/>
              </w:rPr>
              <w:t>Criterio</w:t>
            </w:r>
          </w:p>
        </w:tc>
        <w:tc>
          <w:tcPr>
            <w:tcW w:type="dxa" w:w="1587"/>
            <w:shd w:fill="2E5C8A"/>
          </w:tcPr>
          <w:p>
            <w:r/>
            <w:r>
              <w:rPr>
                <w:b/>
                <w:color w:val="FFFFFF"/>
                <w:sz w:val="20"/>
              </w:rPr>
              <w:t>EasyOCR</w:t>
            </w:r>
          </w:p>
        </w:tc>
        <w:tc>
          <w:tcPr>
            <w:tcW w:type="dxa" w:w="1587"/>
            <w:shd w:fill="2E5C8A"/>
          </w:tcPr>
          <w:p>
            <w:r/>
            <w:r>
              <w:rPr>
                <w:b/>
                <w:color w:val="FFFFFF"/>
                <w:sz w:val="20"/>
              </w:rPr>
              <w:t>Tesseract 5</w:t>
            </w:r>
          </w:p>
        </w:tc>
        <w:tc>
          <w:tcPr>
            <w:tcW w:type="dxa" w:w="1474"/>
            <w:shd w:fill="2E5C8A"/>
          </w:tcPr>
          <w:p>
            <w:r/>
            <w:r>
              <w:rPr>
                <w:b/>
                <w:color w:val="FFFFFF"/>
                <w:sz w:val="20"/>
              </w:rPr>
              <w:t>PaddleOCR</w:t>
            </w:r>
          </w:p>
        </w:tc>
        <w:tc>
          <w:tcPr>
            <w:tcW w:type="dxa" w:w="1417"/>
            <w:shd w:fill="2E5C8A"/>
          </w:tcPr>
          <w:p>
            <w:r/>
            <w:r>
              <w:rPr>
                <w:b/>
                <w:color w:val="FFFFFF"/>
                <w:sz w:val="20"/>
              </w:rPr>
              <w:t>Donut</w:t>
            </w:r>
          </w:p>
        </w:tc>
        <w:tc>
          <w:tcPr>
            <w:tcW w:type="dxa" w:w="1417"/>
            <w:shd w:fill="2E5C8A"/>
          </w:tcPr>
          <w:p>
            <w:r/>
            <w:r>
              <w:rPr>
                <w:b/>
                <w:color w:val="FFFFFF"/>
                <w:sz w:val="20"/>
              </w:rPr>
              <w:t>PyMuPDF</w:t>
            </w:r>
          </w:p>
        </w:tc>
      </w:tr>
      <w:tr>
        <w:tc>
          <w:tcPr>
            <w:tcW w:type="dxa" w:w="1587"/>
          </w:tcPr>
          <w:p>
            <w:r/>
            <w:r>
              <w:rPr>
                <w:sz w:val="20"/>
              </w:rPr>
              <w:t>Tipo</w:t>
            </w:r>
          </w:p>
        </w:tc>
        <w:tc>
          <w:tcPr>
            <w:tcW w:type="dxa" w:w="1587"/>
          </w:tcPr>
          <w:p>
            <w:r/>
            <w:r>
              <w:rPr>
                <w:sz w:val="20"/>
              </w:rPr>
              <w:t>OCR deep learning</w:t>
            </w:r>
          </w:p>
        </w:tc>
        <w:tc>
          <w:tcPr>
            <w:tcW w:type="dxa" w:w="1587"/>
          </w:tcPr>
          <w:p>
            <w:r/>
            <w:r>
              <w:rPr>
                <w:sz w:val="20"/>
              </w:rPr>
              <w:t>OCR clásico con LSTM</w:t>
            </w:r>
          </w:p>
        </w:tc>
        <w:tc>
          <w:tcPr>
            <w:tcW w:type="dxa" w:w="1474"/>
          </w:tcPr>
          <w:p>
            <w:r/>
            <w:r>
              <w:rPr>
                <w:sz w:val="20"/>
              </w:rPr>
              <w:t>OCR deep learning</w:t>
            </w:r>
          </w:p>
        </w:tc>
        <w:tc>
          <w:tcPr>
            <w:tcW w:type="dxa" w:w="1417"/>
          </w:tcPr>
          <w:p>
            <w:r/>
            <w:r>
              <w:rPr>
                <w:sz w:val="20"/>
              </w:rPr>
              <w:t>VLM end-to-end</w:t>
            </w:r>
          </w:p>
        </w:tc>
        <w:tc>
          <w:tcPr>
            <w:tcW w:type="dxa" w:w="1417"/>
          </w:tcPr>
          <w:p>
            <w:r/>
            <w:r>
              <w:rPr>
                <w:sz w:val="20"/>
              </w:rPr>
              <w:t>Extractor nativo</w:t>
            </w:r>
          </w:p>
        </w:tc>
      </w:tr>
      <w:tr>
        <w:tc>
          <w:tcPr>
            <w:tcW w:type="dxa" w:w="1587"/>
          </w:tcPr>
          <w:p>
            <w:r/>
            <w:r>
              <w:rPr>
                <w:sz w:val="20"/>
              </w:rPr>
              <w:t>Arquitectura</w:t>
            </w:r>
          </w:p>
        </w:tc>
        <w:tc>
          <w:tcPr>
            <w:tcW w:type="dxa" w:w="1587"/>
          </w:tcPr>
          <w:p>
            <w:r/>
            <w:r>
              <w:rPr>
                <w:sz w:val="20"/>
              </w:rPr>
              <w:t>CRAFT + CRNN</w:t>
            </w:r>
          </w:p>
        </w:tc>
        <w:tc>
          <w:tcPr>
            <w:tcW w:type="dxa" w:w="1587"/>
          </w:tcPr>
          <w:p>
            <w:r/>
            <w:r>
              <w:rPr>
                <w:sz w:val="20"/>
              </w:rPr>
              <w:t>LSTM</w:t>
            </w:r>
          </w:p>
        </w:tc>
        <w:tc>
          <w:tcPr>
            <w:tcW w:type="dxa" w:w="1474"/>
          </w:tcPr>
          <w:p>
            <w:r/>
            <w:r>
              <w:rPr>
                <w:sz w:val="20"/>
              </w:rPr>
              <w:t>PP-OCR</w:t>
            </w:r>
          </w:p>
        </w:tc>
        <w:tc>
          <w:tcPr>
            <w:tcW w:type="dxa" w:w="1417"/>
          </w:tcPr>
          <w:p>
            <w:r/>
            <w:r>
              <w:rPr>
                <w:sz w:val="20"/>
              </w:rPr>
              <w:t>Transformer Visión→JSON</w:t>
            </w:r>
          </w:p>
        </w:tc>
        <w:tc>
          <w:tcPr>
            <w:tcW w:type="dxa" w:w="1417"/>
          </w:tcPr>
          <w:p>
            <w:r/>
            <w:r>
              <w:rPr>
                <w:sz w:val="20"/>
              </w:rPr>
              <w:t>Parser MuPDF</w:t>
            </w:r>
          </w:p>
        </w:tc>
      </w:tr>
      <w:tr>
        <w:tc>
          <w:tcPr>
            <w:tcW w:type="dxa" w:w="1587"/>
          </w:tcPr>
          <w:p>
            <w:r/>
            <w:r>
              <w:rPr>
                <w:sz w:val="20"/>
              </w:rPr>
              <w:t>Paper referencia</w:t>
            </w:r>
          </w:p>
        </w:tc>
        <w:tc>
          <w:tcPr>
            <w:tcW w:type="dxa" w:w="1587"/>
          </w:tcPr>
          <w:p>
            <w:r/>
            <w:r>
              <w:rPr>
                <w:sz w:val="20"/>
              </w:rPr>
              <w:t>Baek 2019 + Shi 2017</w:t>
            </w:r>
          </w:p>
        </w:tc>
        <w:tc>
          <w:tcPr>
            <w:tcW w:type="dxa" w:w="1587"/>
          </w:tcPr>
          <w:p>
            <w:r/>
            <w:r>
              <w:rPr>
                <w:sz w:val="20"/>
              </w:rPr>
              <w:t>Smith 2007</w:t>
            </w:r>
          </w:p>
        </w:tc>
        <w:tc>
          <w:tcPr>
            <w:tcW w:type="dxa" w:w="1474"/>
          </w:tcPr>
          <w:p>
            <w:r/>
            <w:r>
              <w:rPr>
                <w:sz w:val="20"/>
              </w:rPr>
              <w:t>Baidu 2020</w:t>
            </w:r>
          </w:p>
        </w:tc>
        <w:tc>
          <w:tcPr>
            <w:tcW w:type="dxa" w:w="1417"/>
          </w:tcPr>
          <w:p>
            <w:r/>
            <w:r>
              <w:rPr>
                <w:sz w:val="20"/>
              </w:rPr>
              <w:t>Kim ECCV 2022</w:t>
            </w:r>
          </w:p>
        </w:tc>
        <w:tc>
          <w:tcPr>
            <w:tcW w:type="dxa" w:w="1417"/>
          </w:tcPr>
          <w:p>
            <w:r/>
            <w:r>
              <w:rPr>
                <w:sz w:val="20"/>
              </w:rPr>
              <w:t>Docs Artifex</w:t>
            </w:r>
          </w:p>
        </w:tc>
      </w:tr>
      <w:tr>
        <w:tc>
          <w:tcPr>
            <w:tcW w:type="dxa" w:w="1587"/>
          </w:tcPr>
          <w:p>
            <w:r/>
            <w:r>
              <w:rPr>
                <w:sz w:val="20"/>
              </w:rPr>
              <w:t>Licencia</w:t>
            </w:r>
          </w:p>
        </w:tc>
        <w:tc>
          <w:tcPr>
            <w:tcW w:type="dxa" w:w="1587"/>
          </w:tcPr>
          <w:p>
            <w:r/>
            <w:r>
              <w:rPr>
                <w:sz w:val="20"/>
              </w:rPr>
              <w:t>Apache 2.0</w:t>
            </w:r>
          </w:p>
        </w:tc>
        <w:tc>
          <w:tcPr>
            <w:tcW w:type="dxa" w:w="1587"/>
          </w:tcPr>
          <w:p>
            <w:r/>
            <w:r>
              <w:rPr>
                <w:sz w:val="20"/>
              </w:rPr>
              <w:t>Apache 2.0</w:t>
            </w:r>
          </w:p>
        </w:tc>
        <w:tc>
          <w:tcPr>
            <w:tcW w:type="dxa" w:w="1474"/>
          </w:tcPr>
          <w:p>
            <w:r/>
            <w:r>
              <w:rPr>
                <w:sz w:val="20"/>
              </w:rPr>
              <w:t>Apache 2.0</w:t>
            </w:r>
          </w:p>
        </w:tc>
        <w:tc>
          <w:tcPr>
            <w:tcW w:type="dxa" w:w="1417"/>
          </w:tcPr>
          <w:p>
            <w:r/>
            <w:r>
              <w:rPr>
                <w:sz w:val="20"/>
              </w:rPr>
              <w:t>MIT</w:t>
            </w:r>
          </w:p>
        </w:tc>
        <w:tc>
          <w:tcPr>
            <w:tcW w:type="dxa" w:w="1417"/>
          </w:tcPr>
          <w:p>
            <w:r/>
            <w:r>
              <w:rPr>
                <w:sz w:val="20"/>
              </w:rPr>
              <w:t>AGPL</w:t>
            </w:r>
          </w:p>
        </w:tc>
      </w:tr>
      <w:tr>
        <w:tc>
          <w:tcPr>
            <w:tcW w:type="dxa" w:w="1587"/>
          </w:tcPr>
          <w:p>
            <w:r/>
            <w:r>
              <w:rPr>
                <w:sz w:val="20"/>
              </w:rPr>
              <w:t>Soporte español</w:t>
            </w:r>
          </w:p>
        </w:tc>
        <w:tc>
          <w:tcPr>
            <w:tcW w:type="dxa" w:w="1587"/>
          </w:tcPr>
          <w:p>
            <w:r/>
            <w:r>
              <w:rPr>
                <w:sz w:val="20"/>
              </w:rPr>
              <w:t>Sí (nativo)</w:t>
            </w:r>
          </w:p>
        </w:tc>
        <w:tc>
          <w:tcPr>
            <w:tcW w:type="dxa" w:w="1587"/>
          </w:tcPr>
          <w:p>
            <w:r/>
            <w:r>
              <w:rPr>
                <w:sz w:val="20"/>
              </w:rPr>
              <w:t>Sí (spa.traineddata)</w:t>
            </w:r>
          </w:p>
        </w:tc>
        <w:tc>
          <w:tcPr>
            <w:tcW w:type="dxa" w:w="1474"/>
          </w:tcPr>
          <w:p>
            <w:r/>
            <w:r>
              <w:rPr>
                <w:sz w:val="20"/>
              </w:rPr>
              <w:t>Sí (multi)</w:t>
            </w:r>
          </w:p>
        </w:tc>
        <w:tc>
          <w:tcPr>
            <w:tcW w:type="dxa" w:w="1417"/>
          </w:tcPr>
          <w:p>
            <w:r/>
            <w:r>
              <w:rPr>
                <w:sz w:val="20"/>
              </w:rPr>
              <w:t>Limitado (inglés)</w:t>
            </w:r>
          </w:p>
        </w:tc>
        <w:tc>
          <w:tcPr>
            <w:tcW w:type="dxa" w:w="1417"/>
          </w:tcPr>
          <w:p>
            <w:r/>
            <w:r>
              <w:rPr>
                <w:sz w:val="20"/>
              </w:rPr>
              <w:t>N/A (extrae texto nativo)</w:t>
            </w:r>
          </w:p>
        </w:tc>
      </w:tr>
      <w:tr>
        <w:tc>
          <w:tcPr>
            <w:tcW w:type="dxa" w:w="1587"/>
          </w:tcPr>
          <w:p>
            <w:r/>
            <w:r>
              <w:rPr>
                <w:sz w:val="20"/>
              </w:rPr>
              <w:t>Velocidad CPU</w:t>
            </w:r>
          </w:p>
        </w:tc>
        <w:tc>
          <w:tcPr>
            <w:tcW w:type="dxa" w:w="1587"/>
          </w:tcPr>
          <w:p>
            <w:r/>
            <w:r>
              <w:rPr>
                <w:sz w:val="20"/>
              </w:rPr>
              <w:t>Lenta (~46 s/pág)</w:t>
            </w:r>
          </w:p>
        </w:tc>
        <w:tc>
          <w:tcPr>
            <w:tcW w:type="dxa" w:w="1587"/>
          </w:tcPr>
          <w:p>
            <w:r/>
            <w:r>
              <w:rPr>
                <w:sz w:val="20"/>
              </w:rPr>
              <w:t>Rápida (~5 s/pág)</w:t>
            </w:r>
          </w:p>
        </w:tc>
        <w:tc>
          <w:tcPr>
            <w:tcW w:type="dxa" w:w="1474"/>
          </w:tcPr>
          <w:p>
            <w:r/>
            <w:r>
              <w:rPr>
                <w:sz w:val="20"/>
              </w:rPr>
              <w:t>Media</w:t>
            </w:r>
          </w:p>
        </w:tc>
        <w:tc>
          <w:tcPr>
            <w:tcW w:type="dxa" w:w="1417"/>
          </w:tcPr>
          <w:p>
            <w:r/>
            <w:r>
              <w:rPr>
                <w:sz w:val="20"/>
              </w:rPr>
              <w:t>Muy lenta</w:t>
            </w:r>
          </w:p>
        </w:tc>
        <w:tc>
          <w:tcPr>
            <w:tcW w:type="dxa" w:w="1417"/>
          </w:tcPr>
          <w:p>
            <w:r/>
            <w:r>
              <w:rPr>
                <w:sz w:val="20"/>
              </w:rPr>
              <w:t>Instantáneo (~0.006 s/pág)</w:t>
            </w:r>
          </w:p>
        </w:tc>
      </w:tr>
      <w:tr>
        <w:tc>
          <w:tcPr>
            <w:tcW w:type="dxa" w:w="1587"/>
          </w:tcPr>
          <w:p>
            <w:r/>
            <w:r>
              <w:rPr>
                <w:sz w:val="20"/>
              </w:rPr>
              <w:t>Entrada</w:t>
            </w:r>
          </w:p>
        </w:tc>
        <w:tc>
          <w:tcPr>
            <w:tcW w:type="dxa" w:w="1587"/>
          </w:tcPr>
          <w:p>
            <w:r/>
            <w:r>
              <w:rPr>
                <w:sz w:val="20"/>
              </w:rPr>
              <w:t>Imagen</w:t>
            </w:r>
          </w:p>
        </w:tc>
        <w:tc>
          <w:tcPr>
            <w:tcW w:type="dxa" w:w="1587"/>
          </w:tcPr>
          <w:p>
            <w:r/>
            <w:r>
              <w:rPr>
                <w:sz w:val="20"/>
              </w:rPr>
              <w:t>Imagen</w:t>
            </w:r>
          </w:p>
        </w:tc>
        <w:tc>
          <w:tcPr>
            <w:tcW w:type="dxa" w:w="1474"/>
          </w:tcPr>
          <w:p>
            <w:r/>
            <w:r>
              <w:rPr>
                <w:sz w:val="20"/>
              </w:rPr>
              <w:t>Imagen</w:t>
            </w:r>
          </w:p>
        </w:tc>
        <w:tc>
          <w:tcPr>
            <w:tcW w:type="dxa" w:w="1417"/>
          </w:tcPr>
          <w:p>
            <w:r/>
            <w:r>
              <w:rPr>
                <w:sz w:val="20"/>
              </w:rPr>
              <w:t>Imagen + prompt</w:t>
            </w:r>
          </w:p>
        </w:tc>
        <w:tc>
          <w:tcPr>
            <w:tcW w:type="dxa" w:w="1417"/>
          </w:tcPr>
          <w:p>
            <w:r/>
            <w:r>
              <w:rPr>
                <w:sz w:val="20"/>
              </w:rPr>
              <w:t>PDF digital</w:t>
            </w:r>
          </w:p>
        </w:tc>
      </w:tr>
      <w:tr>
        <w:tc>
          <w:tcPr>
            <w:tcW w:type="dxa" w:w="1587"/>
          </w:tcPr>
          <w:p>
            <w:r/>
            <w:r>
              <w:rPr>
                <w:sz w:val="20"/>
              </w:rPr>
              <w:t>Salida</w:t>
            </w:r>
          </w:p>
        </w:tc>
        <w:tc>
          <w:tcPr>
            <w:tcW w:type="dxa" w:w="1587"/>
          </w:tcPr>
          <w:p>
            <w:r/>
            <w:r>
              <w:rPr>
                <w:sz w:val="20"/>
              </w:rPr>
              <w:t>Texto + bboxes</w:t>
            </w:r>
          </w:p>
        </w:tc>
        <w:tc>
          <w:tcPr>
            <w:tcW w:type="dxa" w:w="1587"/>
          </w:tcPr>
          <w:p>
            <w:r/>
            <w:r>
              <w:rPr>
                <w:sz w:val="20"/>
              </w:rPr>
              <w:t>Texto plano</w:t>
            </w:r>
          </w:p>
        </w:tc>
        <w:tc>
          <w:tcPr>
            <w:tcW w:type="dxa" w:w="1474"/>
          </w:tcPr>
          <w:p>
            <w:r/>
            <w:r>
              <w:rPr>
                <w:sz w:val="20"/>
              </w:rPr>
              <w:t>Texto + bboxes</w:t>
            </w:r>
          </w:p>
        </w:tc>
        <w:tc>
          <w:tcPr>
            <w:tcW w:type="dxa" w:w="1417"/>
          </w:tcPr>
          <w:p>
            <w:r/>
            <w:r>
              <w:rPr>
                <w:sz w:val="20"/>
              </w:rPr>
              <w:t>JSON directo</w:t>
            </w:r>
          </w:p>
        </w:tc>
        <w:tc>
          <w:tcPr>
            <w:tcW w:type="dxa" w:w="1417"/>
          </w:tcPr>
          <w:p>
            <w:r/>
            <w:r>
              <w:rPr>
                <w:sz w:val="20"/>
              </w:rPr>
              <w:t>Texto plano</w:t>
            </w:r>
          </w:p>
        </w:tc>
      </w:tr>
      <w:tr>
        <w:tc>
          <w:tcPr>
            <w:tcW w:type="dxa" w:w="1587"/>
          </w:tcPr>
          <w:p>
            <w:r/>
            <w:r>
              <w:rPr>
                <w:sz w:val="20"/>
              </w:rPr>
              <w:t>Python 3.12</w:t>
            </w:r>
          </w:p>
        </w:tc>
        <w:tc>
          <w:tcPr>
            <w:tcW w:type="dxa" w:w="1587"/>
          </w:tcPr>
          <w:p>
            <w:r/>
            <w:r>
              <w:rPr>
                <w:sz w:val="20"/>
              </w:rPr>
              <w:t>Compatible</w:t>
            </w:r>
          </w:p>
        </w:tc>
        <w:tc>
          <w:tcPr>
            <w:tcW w:type="dxa" w:w="1587"/>
          </w:tcPr>
          <w:p>
            <w:r/>
            <w:r>
              <w:rPr>
                <w:sz w:val="20"/>
              </w:rPr>
              <w:t>Compatible</w:t>
            </w:r>
          </w:p>
        </w:tc>
        <w:tc>
          <w:tcPr>
            <w:tcW w:type="dxa" w:w="1474"/>
          </w:tcPr>
          <w:p>
            <w:r/>
            <w:r>
              <w:rPr>
                <w:sz w:val="20"/>
              </w:rPr>
              <w:t>NO compatible</w:t>
            </w:r>
          </w:p>
        </w:tc>
        <w:tc>
          <w:tcPr>
            <w:tcW w:type="dxa" w:w="1417"/>
          </w:tcPr>
          <w:p>
            <w:r/>
            <w:r>
              <w:rPr>
                <w:sz w:val="20"/>
              </w:rPr>
              <w:t>Compatible</w:t>
            </w:r>
          </w:p>
        </w:tc>
        <w:tc>
          <w:tcPr>
            <w:tcW w:type="dxa" w:w="1417"/>
          </w:tcPr>
          <w:p>
            <w:r/>
            <w:r>
              <w:rPr>
                <w:sz w:val="20"/>
              </w:rPr>
              <w:t>Compatible</w:t>
            </w:r>
          </w:p>
        </w:tc>
      </w:tr>
      <w:tr>
        <w:tc>
          <w:tcPr>
            <w:tcW w:type="dxa" w:w="1587"/>
          </w:tcPr>
          <w:p>
            <w:r/>
            <w:r>
              <w:rPr>
                <w:sz w:val="20"/>
              </w:rPr>
              <w:t>Multi-tipología</w:t>
            </w:r>
          </w:p>
        </w:tc>
        <w:tc>
          <w:tcPr>
            <w:tcW w:type="dxa" w:w="1587"/>
          </w:tcPr>
          <w:p>
            <w:r/>
            <w:r>
              <w:rPr>
                <w:sz w:val="20"/>
              </w:rPr>
              <w:t>Sí (un modelo)</w:t>
            </w:r>
          </w:p>
        </w:tc>
        <w:tc>
          <w:tcPr>
            <w:tcW w:type="dxa" w:w="1587"/>
          </w:tcPr>
          <w:p>
            <w:r/>
            <w:r>
              <w:rPr>
                <w:sz w:val="20"/>
              </w:rPr>
              <w:t>Sí</w:t>
            </w:r>
          </w:p>
        </w:tc>
        <w:tc>
          <w:tcPr>
            <w:tcW w:type="dxa" w:w="1474"/>
          </w:tcPr>
          <w:p>
            <w:r/>
            <w:r>
              <w:rPr>
                <w:sz w:val="20"/>
              </w:rPr>
              <w:t>Sí</w:t>
            </w:r>
          </w:p>
        </w:tc>
        <w:tc>
          <w:tcPr>
            <w:tcW w:type="dxa" w:w="1417"/>
          </w:tcPr>
          <w:p>
            <w:r/>
            <w:r>
              <w:rPr>
                <w:sz w:val="20"/>
              </w:rPr>
              <w:t>No (un modelo/tipo)</w:t>
            </w:r>
          </w:p>
        </w:tc>
        <w:tc>
          <w:tcPr>
            <w:tcW w:type="dxa" w:w="1417"/>
          </w:tcPr>
          <w:p>
            <w:r/>
            <w:r>
              <w:rPr>
                <w:sz w:val="20"/>
              </w:rPr>
              <w:t>Solo digitales</w:t>
            </w:r>
          </w:p>
        </w:tc>
      </w:tr>
      <w:tr>
        <w:tc>
          <w:tcPr>
            <w:tcW w:type="dxa" w:w="1587"/>
          </w:tcPr>
          <w:p>
            <w:r/>
            <w:r>
              <w:rPr>
                <w:sz w:val="20"/>
              </w:rPr>
              <w:t>Estado en el proyecto</w:t>
            </w:r>
          </w:p>
        </w:tc>
        <w:tc>
          <w:tcPr>
            <w:tcW w:type="dxa" w:w="1587"/>
          </w:tcPr>
          <w:p>
            <w:r/>
            <w:r>
              <w:rPr>
                <w:sz w:val="20"/>
              </w:rPr>
              <w:t>SELECCIONADO</w:t>
            </w:r>
          </w:p>
        </w:tc>
        <w:tc>
          <w:tcPr>
            <w:tcW w:type="dxa" w:w="1587"/>
          </w:tcPr>
          <w:p>
            <w:r/>
            <w:r>
              <w:rPr>
                <w:sz w:val="20"/>
              </w:rPr>
              <w:t>Evaluado, no principal</w:t>
            </w:r>
          </w:p>
        </w:tc>
        <w:tc>
          <w:tcPr>
            <w:tcW w:type="dxa" w:w="1474"/>
          </w:tcPr>
          <w:p>
            <w:r/>
            <w:r>
              <w:rPr>
                <w:sz w:val="20"/>
              </w:rPr>
              <w:t>Descartado sin evaluar</w:t>
            </w:r>
          </w:p>
        </w:tc>
        <w:tc>
          <w:tcPr>
            <w:tcW w:type="dxa" w:w="1417"/>
          </w:tcPr>
          <w:p>
            <w:r/>
            <w:r>
              <w:rPr>
                <w:sz w:val="20"/>
              </w:rPr>
              <w:t>Descartado sin evaluar</w:t>
            </w:r>
          </w:p>
        </w:tc>
        <w:tc>
          <w:tcPr>
            <w:tcW w:type="dxa" w:w="1417"/>
          </w:tcPr>
          <w:p>
            <w:r/>
            <w:r>
              <w:rPr>
                <w:sz w:val="20"/>
              </w:rPr>
              <w:t>Complementario</w:t>
            </w:r>
          </w:p>
        </w:tc>
      </w:tr>
    </w:tbl>
    <w:p>
      <w:pPr>
        <w:pStyle w:val="Heading2"/>
      </w:pPr>
      <w:r>
        <w:t>2.6 PyMuPDF — extractor complementario (no participa del benchmark)</w:t>
      </w:r>
    </w:p>
    <w:p>
      <w:r>
        <w:rPr>
          <w:sz w:val="22"/>
        </w:rPr>
        <w:t>PyMuPDF no es un motor OCR sino un extractor de texto nativo que opera sobre PDFs con caracteres digitales embebidos (no imagen). Se menciona porque es parte integral del pipeline del proyecto, aunque no participa del benchmark.</w:t>
      </w:r>
    </w:p>
    <w:p>
      <w:r>
        <w:rPr>
          <w:sz w:val="22"/>
        </w:rPr>
        <w:t>En el pipeline productivo, PyMuPDF maneja los 548 documentos digitales del corpus con precisión prácticamente perfecta (CER ≈ 0), mientras que EasyOCR/Tesseract manejan los 416 escaneados. Esta bifurcación "usar el motor apropiado según el tipo de documento" es una decisión arquitectural independiente a la selección OCR.</w:t>
      </w:r>
    </w:p>
    <w:p>
      <w:r>
        <w:br w:type="page"/>
      </w:r>
    </w:p>
    <w:p>
      <w:pPr>
        <w:pStyle w:val="Heading1"/>
      </w:pPr>
      <w:r>
        <w:t>3. Métricas de evaluación</w:t>
      </w:r>
    </w:p>
    <w:p>
      <w:r>
        <w:rPr>
          <w:sz w:val="22"/>
        </w:rPr>
        <w:t>Se calcularon cuatro métricas sobre cada combinación (motor × documento). Cada métrica responde a una pregunta distinta, y el conjunto permite una evaluación multidimensional del rendimiento.</w:t>
      </w:r>
    </w:p>
    <w:p>
      <w:pPr>
        <w:pStyle w:val="Heading2"/>
      </w:pPr>
      <w:r>
        <w:t>3.1 Character Error Rate (CER) — calidad a nivel de carácter</w:t>
      </w:r>
    </w:p>
    <w:p>
      <w:r>
        <w:rPr>
          <w:b/>
          <w:sz w:val="22"/>
        </w:rPr>
        <w:t xml:space="preserve">Pregunta que responde: </w:t>
      </w:r>
      <w:r>
        <w:rPr>
          <w:i/>
          <w:sz w:val="22"/>
        </w:rPr>
        <w:t>¿qué tan cerca está el texto producido por el OCR del texto real transcrito por el humano?</w:t>
      </w:r>
    </w:p>
    <w:p>
      <w:r>
        <w:rPr>
          <w:sz w:val="22"/>
        </w:rPr>
        <w:t>Fórmula:</w:t>
      </w:r>
    </w:p>
    <w:p>
      <w:pPr>
        <w:ind w:left="283"/>
        <w:shd w:fill="F5F5F5"/>
      </w:pPr>
      <w:r>
        <w:rPr>
          <w:rFonts w:ascii="Consolas" w:hAnsi="Consolas"/>
          <w:sz w:val="18"/>
        </w:rPr>
        <w:t>CER = (S + D + I) / N</w:t>
        <w:br/>
        <w:br/>
        <w:t>donde:</w:t>
        <w:br/>
        <w:t xml:space="preserve">  S = caracteres sustituidos (el OCR escribió un carácter incorrecto)</w:t>
        <w:br/>
        <w:t xml:space="preserve">  D = caracteres borrados (el OCR omitió un carácter del original)</w:t>
        <w:br/>
        <w:t xml:space="preserve">  I = caracteres insertados (el OCR agregó un carácter que no existía)</w:t>
        <w:br/>
        <w:t xml:space="preserve">  N = total de caracteres en la transcripción humana (referencia)</w:t>
      </w:r>
    </w:p>
    <w:p>
      <w:r>
        <w:rPr>
          <w:sz w:val="22"/>
        </w:rPr>
        <w:t>Se calcula con la distancia de edición de Levenshtein entre el texto OCR y la transcripción humana. Es la métrica canónica de la literatura OCR desde los años 80.</w:t>
      </w:r>
    </w:p>
    <w:p>
      <w:r>
        <w:rPr>
          <w:b/>
          <w:sz w:val="22"/>
        </w:rPr>
        <w:t xml:space="preserve">Dirección: </w:t>
      </w:r>
      <w:r>
        <w:rPr>
          <w:sz w:val="22"/>
        </w:rPr>
        <w:t>menor es mejor. CER = 0 significa coincidencia perfecta. CER = 0.30 significa que aproximadamente 30 de cada 100 caracteres tienen algún error.</w:t>
      </w:r>
    </w:p>
    <w:p>
      <w:r>
        <w:rPr>
          <w:b/>
          <w:sz w:val="22"/>
        </w:rPr>
        <w:t xml:space="preserve">Normalización previa: </w:t>
      </w:r>
      <w:r>
        <w:rPr>
          <w:sz w:val="22"/>
        </w:rPr>
        <w:t>antes de comparar se convierte todo a minúsculas y se colapsan los espacios múltiples. Esto evita que diferencias triviales de formato cuenten como errores.</w:t>
      </w:r>
    </w:p>
    <w:p>
      <w:r>
        <w:rPr>
          <w:b/>
          <w:sz w:val="22"/>
        </w:rPr>
        <w:t xml:space="preserve">Implementación: </w:t>
      </w:r>
      <w:r>
        <w:rPr>
          <w:sz w:val="22"/>
        </w:rPr>
        <w:t xml:space="preserve">librería jiwer — </w:t>
      </w:r>
      <w:r>
        <w:rPr>
          <w:rFonts w:ascii="Consolas" w:hAnsi="Consolas"/>
          <w:sz w:val="20"/>
        </w:rPr>
        <w:t>jiwer.cer(reference, hypothesis)</w:t>
      </w:r>
    </w:p>
    <w:p>
      <w:pPr>
        <w:pStyle w:val="Heading2"/>
      </w:pPr>
      <w:r>
        <w:t>3.2 Word Error Rate (WER) — calidad a nivel de palabra</w:t>
      </w:r>
    </w:p>
    <w:p>
      <w:r>
        <w:rPr>
          <w:b/>
          <w:sz w:val="22"/>
        </w:rPr>
        <w:t xml:space="preserve">Pregunta que responde: </w:t>
      </w:r>
      <w:r>
        <w:rPr>
          <w:i/>
          <w:sz w:val="22"/>
        </w:rPr>
        <w:t>¿cuántas palabras enteras quedan erradas en la salida del OCR?</w:t>
      </w:r>
    </w:p>
    <w:p>
      <w:r>
        <w:rPr>
          <w:b/>
          <w:sz w:val="22"/>
        </w:rPr>
        <w:t xml:space="preserve">Fórmula: </w:t>
      </w:r>
      <w:r>
        <w:rPr>
          <w:sz w:val="22"/>
        </w:rPr>
        <w:t>la misma que CER pero contando palabras en lugar de caracteres. Se calcula con alineación Levenshtein sobre la secuencia de palabras tokenizadas por espacios.</w:t>
      </w:r>
    </w:p>
    <w:p>
      <w:r>
        <w:rPr>
          <w:b/>
          <w:sz w:val="22"/>
        </w:rPr>
        <w:t xml:space="preserve">Por qué medir ambas (CER y WER): </w:t>
      </w:r>
      <w:r>
        <w:rPr>
          <w:sz w:val="22"/>
        </w:rPr>
        <w:t>CER y WER miden dimensiones distintas. Un OCR puede tener CER bajo (pocos errores de carácter) pero WER alto si los errores se concentran en unas pocas palabras que quedan irreconocibles. La combinación permite distinguir entre "muchos errores pequeños repartidos" y "pocas palabras totalmente arruinadas".</w:t>
      </w:r>
    </w:p>
    <w:p>
      <w:pPr>
        <w:pStyle w:val="Heading2"/>
      </w:pPr>
      <w:r>
        <w:t>3.3 Entity Recall — utilidad downstream para NER</w:t>
      </w:r>
    </w:p>
    <w:p>
      <w:r>
        <w:rPr>
          <w:b/>
          <w:sz w:val="22"/>
        </w:rPr>
        <w:t xml:space="preserve">Pregunta que responde: </w:t>
      </w:r>
      <w:r>
        <w:rPr>
          <w:i/>
          <w:sz w:val="22"/>
        </w:rPr>
        <w:t>¿qué tanto preserva el OCR las entidades (NITs, cédulas, fechas, montos) que el sistema necesita extraer en fases posteriores?</w:t>
      </w:r>
    </w:p>
    <w:p>
      <w:r>
        <w:rPr>
          <w:sz w:val="22"/>
        </w:rPr>
        <w:t>CER y WER miden la calidad del texto en general, pero lo que realmente determina el éxito de un sistema IDP es si los datos clave quedaron legibles. Un OCR con CER 0.30 puede ser perfectamente utilizable si preserva los NITs, o inútil si los NITs quedan fragmentados.</w:t>
      </w:r>
    </w:p>
    <w:p>
      <w:r>
        <w:rPr>
          <w:sz w:val="22"/>
        </w:rPr>
        <w:t>Fórmula:</w:t>
      </w:r>
    </w:p>
    <w:p>
      <w:pPr>
        <w:ind w:left="283"/>
        <w:shd w:fill="F5F5F5"/>
      </w:pPr>
      <w:r>
        <w:rPr>
          <w:rFonts w:ascii="Consolas" w:hAnsi="Consolas"/>
          <w:sz w:val="18"/>
        </w:rPr>
        <w:t>entity_recall = |entidades_detectadas_en_OCR ∩ entidades_en_gold| / |entidades_en_gold|</w:t>
      </w:r>
    </w:p>
    <w:p>
      <w:r>
        <w:rPr>
          <w:sz w:val="22"/>
        </w:rPr>
        <w:t>Las "entidades" se extraen mediante cuatro patrones regex específicos del dominio colombiano, aplicados tanto al texto OCR como a la transcripción humana de referencia:</w:t>
      </w:r>
    </w:p>
    <w:tbl>
      <w:tblPr>
        <w:tblStyle w:val="LightGrid-Accent1"/>
        <w:tblW w:type="auto" w:w="0"/>
        <w:tblLayout w:type="fixed"/>
        <w:tblLook w:firstColumn="1" w:firstRow="1" w:lastColumn="0" w:lastRow="0" w:noHBand="0" w:noVBand="1" w:val="04A0"/>
      </w:tblPr>
      <w:tblGrid>
        <w:gridCol w:w="3135"/>
        <w:gridCol w:w="3135"/>
        <w:gridCol w:w="3135"/>
      </w:tblGrid>
      <w:tr>
        <w:tc>
          <w:tcPr>
            <w:tcW w:type="dxa" w:w="1417"/>
            <w:shd w:fill="2E5C8A"/>
          </w:tcPr>
          <w:p>
            <w:r/>
            <w:r>
              <w:rPr>
                <w:b/>
                <w:color w:val="FFFFFF"/>
                <w:sz w:val="20"/>
              </w:rPr>
              <w:t>Entidad</w:t>
            </w:r>
          </w:p>
        </w:tc>
        <w:tc>
          <w:tcPr>
            <w:tcW w:type="dxa" w:w="4535"/>
            <w:shd w:fill="2E5C8A"/>
          </w:tcPr>
          <w:p>
            <w:r/>
            <w:r>
              <w:rPr>
                <w:b/>
                <w:color w:val="FFFFFF"/>
                <w:sz w:val="20"/>
              </w:rPr>
              <w:t>Patrón regex</w:t>
            </w:r>
          </w:p>
        </w:tc>
        <w:tc>
          <w:tcPr>
            <w:tcW w:type="dxa" w:w="3402"/>
            <w:shd w:fill="2E5C8A"/>
          </w:tcPr>
          <w:p>
            <w:r/>
            <w:r>
              <w:rPr>
                <w:b/>
                <w:color w:val="FFFFFF"/>
                <w:sz w:val="20"/>
              </w:rPr>
              <w:t>Ejemplo</w:t>
            </w:r>
          </w:p>
        </w:tc>
      </w:tr>
      <w:tr>
        <w:tc>
          <w:tcPr>
            <w:tcW w:type="dxa" w:w="1417"/>
          </w:tcPr>
          <w:p>
            <w:r/>
            <w:r>
              <w:rPr>
                <w:sz w:val="20"/>
              </w:rPr>
              <w:t>NIT</w:t>
            </w:r>
          </w:p>
        </w:tc>
        <w:tc>
          <w:tcPr>
            <w:tcW w:type="dxa" w:w="4535"/>
          </w:tcPr>
          <w:p>
            <w:r/>
            <w:r>
              <w:rPr>
                <w:sz w:val="20"/>
              </w:rPr>
              <w:t>\b\d{8,10}[-\s]?\d\b</w:t>
            </w:r>
          </w:p>
        </w:tc>
        <w:tc>
          <w:tcPr>
            <w:tcW w:type="dxa" w:w="3402"/>
          </w:tcPr>
          <w:p>
            <w:r/>
            <w:r>
              <w:rPr>
                <w:sz w:val="20"/>
              </w:rPr>
              <w:t>860518862-7</w:t>
            </w:r>
          </w:p>
        </w:tc>
      </w:tr>
      <w:tr>
        <w:tc>
          <w:tcPr>
            <w:tcW w:type="dxa" w:w="1417"/>
          </w:tcPr>
          <w:p>
            <w:r/>
            <w:r>
              <w:rPr>
                <w:sz w:val="20"/>
              </w:rPr>
              <w:t>Cédula</w:t>
            </w:r>
          </w:p>
        </w:tc>
        <w:tc>
          <w:tcPr>
            <w:tcW w:type="dxa" w:w="4535"/>
          </w:tcPr>
          <w:p>
            <w:r/>
            <w:r>
              <w:rPr>
                <w:sz w:val="20"/>
              </w:rPr>
              <w:t>\b\d{1,3}(?:[.\s]\d{3}){2,3}\b</w:t>
            </w:r>
          </w:p>
        </w:tc>
        <w:tc>
          <w:tcPr>
            <w:tcW w:type="dxa" w:w="3402"/>
          </w:tcPr>
          <w:p>
            <w:r/>
            <w:r>
              <w:rPr>
                <w:sz w:val="20"/>
              </w:rPr>
              <w:t>1.234.567 o 1 234 567</w:t>
            </w:r>
          </w:p>
        </w:tc>
      </w:tr>
      <w:tr>
        <w:tc>
          <w:tcPr>
            <w:tcW w:type="dxa" w:w="1417"/>
          </w:tcPr>
          <w:p>
            <w:r/>
            <w:r>
              <w:rPr>
                <w:sz w:val="20"/>
              </w:rPr>
              <w:t>Fecha</w:t>
            </w:r>
          </w:p>
        </w:tc>
        <w:tc>
          <w:tcPr>
            <w:tcW w:type="dxa" w:w="4535"/>
          </w:tcPr>
          <w:p>
            <w:r/>
            <w:r>
              <w:rPr>
                <w:sz w:val="20"/>
              </w:rPr>
              <w:t>\b\d{1,2}[/-]\d{1,2}[/-]\d{2,4}\b</w:t>
            </w:r>
          </w:p>
        </w:tc>
        <w:tc>
          <w:tcPr>
            <w:tcW w:type="dxa" w:w="3402"/>
          </w:tcPr>
          <w:p>
            <w:r/>
            <w:r>
              <w:rPr>
                <w:sz w:val="20"/>
              </w:rPr>
              <w:t>05/11/2025</w:t>
            </w:r>
          </w:p>
        </w:tc>
      </w:tr>
      <w:tr>
        <w:tc>
          <w:tcPr>
            <w:tcW w:type="dxa" w:w="1417"/>
          </w:tcPr>
          <w:p>
            <w:r/>
            <w:r>
              <w:rPr>
                <w:sz w:val="20"/>
              </w:rPr>
              <w:t>Monto</w:t>
            </w:r>
          </w:p>
        </w:tc>
        <w:tc>
          <w:tcPr>
            <w:tcW w:type="dxa" w:w="4535"/>
          </w:tcPr>
          <w:p>
            <w:r/>
            <w:r>
              <w:rPr>
                <w:sz w:val="20"/>
              </w:rPr>
              <w:t>\$\s?\d{1,3}(?:[.,]\d{3})+(?:[.,]\d{1,2})?</w:t>
            </w:r>
          </w:p>
        </w:tc>
        <w:tc>
          <w:tcPr>
            <w:tcW w:type="dxa" w:w="3402"/>
          </w:tcPr>
          <w:p>
            <w:r/>
            <w:r>
              <w:rPr>
                <w:sz w:val="20"/>
              </w:rPr>
              <w:t>$1.234.567,89</w:t>
            </w:r>
          </w:p>
        </w:tc>
      </w:tr>
    </w:tbl>
    <w:p>
      <w:r>
        <w:rPr>
          <w:b/>
          <w:sz w:val="22"/>
        </w:rPr>
        <w:t xml:space="preserve">Dirección: </w:t>
      </w:r>
      <w:r>
        <w:rPr>
          <w:sz w:val="22"/>
        </w:rPr>
        <w:t>mayor es mejor. entity_recall = 1.00 significa que el OCR preservó todas las entidades del gold. entity_recall = 0.50 significa que la mitad de los NITs, cédulas, fechas o montos quedaron inusables para extracción posterior.</w:t>
      </w:r>
    </w:p>
    <w:p>
      <w:r>
        <w:rPr>
          <w:b/>
          <w:sz w:val="22"/>
        </w:rPr>
        <w:t xml:space="preserve">Por qué es la métrica más importante para este proyecto: </w:t>
      </w:r>
      <w:r>
        <w:rPr>
          <w:sz w:val="22"/>
        </w:rPr>
        <w:t>el objetivo del sistema no es "transcribir texto" sino "extraer entidades". Entity recall mide directamente esa utilidad. Esta métrica está alineada con la evaluación a nivel de entidad del shared task CoNLL-2002 (Tjong Kim Sang, 2002).</w:t>
      </w:r>
    </w:p>
    <w:p>
      <w:pPr>
        <w:pStyle w:val="Heading2"/>
      </w:pPr>
      <w:r>
        <w:t>3.4 Tiempo por página — costo operativo</w:t>
      </w:r>
    </w:p>
    <w:p>
      <w:r>
        <w:rPr>
          <w:b/>
          <w:sz w:val="22"/>
        </w:rPr>
        <w:t xml:space="preserve">Pregunta que responde: </w:t>
      </w:r>
      <w:r>
        <w:rPr>
          <w:i/>
          <w:sz w:val="22"/>
        </w:rPr>
        <w:t>¿cuánto cuesta, en términos de tiempo, ejecutar este motor OCR a escala?</w:t>
      </w:r>
    </w:p>
    <w:p>
      <w:r>
        <w:rPr>
          <w:sz w:val="22"/>
        </w:rPr>
        <w:t>Se mide con time.perf_counter() en alta resolución, contabilizando únicamente el tiempo de inferencia (no el de carga del modelo, que se amortiza).</w:t>
      </w:r>
    </w:p>
    <w:p>
      <w:r>
        <w:rPr>
          <w:b/>
          <w:sz w:val="22"/>
        </w:rPr>
        <w:t xml:space="preserve">Por qué es crítico: </w:t>
      </w:r>
      <w:r>
        <w:rPr>
          <w:sz w:val="22"/>
        </w:rPr>
        <w:t>el corpus del proyecto tiene 1,678 páginas escaneadas. Un motor a 50 s/pág requiere ~23 horas de cómputo (corrida overnight). Un motor a 5 s/pág requiere ~2.3 horas. La diferencia operativa es sustancial para iteración experimental.</w:t>
      </w:r>
    </w:p>
    <w:p>
      <w:pPr>
        <w:pStyle w:val="Heading2"/>
      </w:pPr>
      <w:r>
        <w:t>3.5 Resumen de las métricas calculadas</w:t>
      </w:r>
    </w:p>
    <w:tbl>
      <w:tblPr>
        <w:tblStyle w:val="LightGrid-Accent1"/>
        <w:tblW w:type="auto" w:w="0"/>
        <w:tblLayout w:type="fixed"/>
        <w:tblLook w:firstColumn="1" w:firstRow="1" w:lastColumn="0" w:lastRow="0" w:noHBand="0" w:noVBand="1" w:val="04A0"/>
      </w:tblPr>
      <w:tblGrid>
        <w:gridCol w:w="1881"/>
        <w:gridCol w:w="1881"/>
        <w:gridCol w:w="1881"/>
        <w:gridCol w:w="1881"/>
        <w:gridCol w:w="1881"/>
      </w:tblGrid>
      <w:tr>
        <w:tc>
          <w:tcPr>
            <w:tcW w:type="dxa" w:w="1417"/>
            <w:shd w:fill="2E5C8A"/>
          </w:tcPr>
          <w:p>
            <w:r/>
            <w:r>
              <w:rPr>
                <w:b/>
                <w:color w:val="FFFFFF"/>
                <w:sz w:val="20"/>
              </w:rPr>
              <w:t>Métrica</w:t>
            </w:r>
          </w:p>
        </w:tc>
        <w:tc>
          <w:tcPr>
            <w:tcW w:type="dxa" w:w="2835"/>
            <w:shd w:fill="2E5C8A"/>
          </w:tcPr>
          <w:p>
            <w:r/>
            <w:r>
              <w:rPr>
                <w:b/>
                <w:color w:val="FFFFFF"/>
                <w:sz w:val="20"/>
              </w:rPr>
              <w:t>Qué mide</w:t>
            </w:r>
          </w:p>
        </w:tc>
        <w:tc>
          <w:tcPr>
            <w:tcW w:type="dxa" w:w="1417"/>
            <w:shd w:fill="2E5C8A"/>
          </w:tcPr>
          <w:p>
            <w:r/>
            <w:r>
              <w:rPr>
                <w:b/>
                <w:color w:val="FFFFFF"/>
                <w:sz w:val="20"/>
              </w:rPr>
              <w:t>Unidad</w:t>
            </w:r>
          </w:p>
        </w:tc>
        <w:tc>
          <w:tcPr>
            <w:tcW w:type="dxa" w:w="1134"/>
            <w:shd w:fill="2E5C8A"/>
          </w:tcPr>
          <w:p>
            <w:r/>
            <w:r>
              <w:rPr>
                <w:b/>
                <w:color w:val="FFFFFF"/>
                <w:sz w:val="20"/>
              </w:rPr>
              <w:t>Mejor si...</w:t>
            </w:r>
          </w:p>
        </w:tc>
        <w:tc>
          <w:tcPr>
            <w:tcW w:type="dxa" w:w="2835"/>
            <w:shd w:fill="2E5C8A"/>
          </w:tcPr>
          <w:p>
            <w:r/>
            <w:r>
              <w:rPr>
                <w:b/>
                <w:color w:val="FFFFFF"/>
                <w:sz w:val="20"/>
              </w:rPr>
              <w:t>Pregunta que responde</w:t>
            </w:r>
          </w:p>
        </w:tc>
      </w:tr>
      <w:tr>
        <w:tc>
          <w:tcPr>
            <w:tcW w:type="dxa" w:w="1417"/>
          </w:tcPr>
          <w:p>
            <w:r/>
            <w:r>
              <w:rPr>
                <w:sz w:val="20"/>
              </w:rPr>
              <w:t>CER</w:t>
            </w:r>
          </w:p>
        </w:tc>
        <w:tc>
          <w:tcPr>
            <w:tcW w:type="dxa" w:w="2835"/>
          </w:tcPr>
          <w:p>
            <w:r/>
            <w:r>
              <w:rPr>
                <w:sz w:val="20"/>
              </w:rPr>
              <w:t>Errores de carácter respecto al total</w:t>
            </w:r>
          </w:p>
        </w:tc>
        <w:tc>
          <w:tcPr>
            <w:tcW w:type="dxa" w:w="1417"/>
          </w:tcPr>
          <w:p>
            <w:r/>
            <w:r>
              <w:rPr>
                <w:sz w:val="20"/>
              </w:rPr>
              <w:t>Proporción [0,1]</w:t>
            </w:r>
          </w:p>
        </w:tc>
        <w:tc>
          <w:tcPr>
            <w:tcW w:type="dxa" w:w="1134"/>
          </w:tcPr>
          <w:p>
            <w:r/>
            <w:r>
              <w:rPr>
                <w:sz w:val="20"/>
              </w:rPr>
              <w:t>Menor</w:t>
            </w:r>
          </w:p>
        </w:tc>
        <w:tc>
          <w:tcPr>
            <w:tcW w:type="dxa" w:w="2835"/>
          </w:tcPr>
          <w:p>
            <w:r/>
            <w:r>
              <w:rPr>
                <w:sz w:val="20"/>
              </w:rPr>
              <w:t>Calidad carácter-a-carácter</w:t>
            </w:r>
          </w:p>
        </w:tc>
      </w:tr>
      <w:tr>
        <w:tc>
          <w:tcPr>
            <w:tcW w:type="dxa" w:w="1417"/>
          </w:tcPr>
          <w:p>
            <w:r/>
            <w:r>
              <w:rPr>
                <w:sz w:val="20"/>
              </w:rPr>
              <w:t>WER</w:t>
            </w:r>
          </w:p>
        </w:tc>
        <w:tc>
          <w:tcPr>
            <w:tcW w:type="dxa" w:w="2835"/>
          </w:tcPr>
          <w:p>
            <w:r/>
            <w:r>
              <w:rPr>
                <w:sz w:val="20"/>
              </w:rPr>
              <w:t>Errores de palabra respecto al total</w:t>
            </w:r>
          </w:p>
        </w:tc>
        <w:tc>
          <w:tcPr>
            <w:tcW w:type="dxa" w:w="1417"/>
          </w:tcPr>
          <w:p>
            <w:r/>
            <w:r>
              <w:rPr>
                <w:sz w:val="20"/>
              </w:rPr>
              <w:t>Proporción [0,1]</w:t>
            </w:r>
          </w:p>
        </w:tc>
        <w:tc>
          <w:tcPr>
            <w:tcW w:type="dxa" w:w="1134"/>
          </w:tcPr>
          <w:p>
            <w:r/>
            <w:r>
              <w:rPr>
                <w:sz w:val="20"/>
              </w:rPr>
              <w:t>Menor</w:t>
            </w:r>
          </w:p>
        </w:tc>
        <w:tc>
          <w:tcPr>
            <w:tcW w:type="dxa" w:w="2835"/>
          </w:tcPr>
          <w:p>
            <w:r/>
            <w:r>
              <w:rPr>
                <w:sz w:val="20"/>
              </w:rPr>
              <w:t>Calidad palabra-a-palabra</w:t>
            </w:r>
          </w:p>
        </w:tc>
      </w:tr>
      <w:tr>
        <w:tc>
          <w:tcPr>
            <w:tcW w:type="dxa" w:w="1417"/>
          </w:tcPr>
          <w:p>
            <w:r/>
            <w:r>
              <w:rPr>
                <w:sz w:val="20"/>
              </w:rPr>
              <w:t>Entity Recall</w:t>
            </w:r>
          </w:p>
        </w:tc>
        <w:tc>
          <w:tcPr>
            <w:tcW w:type="dxa" w:w="2835"/>
          </w:tcPr>
          <w:p>
            <w:r/>
            <w:r>
              <w:rPr>
                <w:sz w:val="20"/>
              </w:rPr>
              <w:t>Entidades preservadas en OCR</w:t>
            </w:r>
          </w:p>
        </w:tc>
        <w:tc>
          <w:tcPr>
            <w:tcW w:type="dxa" w:w="1417"/>
          </w:tcPr>
          <w:p>
            <w:r/>
            <w:r>
              <w:rPr>
                <w:sz w:val="20"/>
              </w:rPr>
              <w:t>Proporción [0,1]</w:t>
            </w:r>
          </w:p>
        </w:tc>
        <w:tc>
          <w:tcPr>
            <w:tcW w:type="dxa" w:w="1134"/>
          </w:tcPr>
          <w:p>
            <w:r/>
            <w:r>
              <w:rPr>
                <w:sz w:val="20"/>
              </w:rPr>
              <w:t>Mayor</w:t>
            </w:r>
          </w:p>
        </w:tc>
        <w:tc>
          <w:tcPr>
            <w:tcW w:type="dxa" w:w="2835"/>
          </w:tcPr>
          <w:p>
            <w:r/>
            <w:r>
              <w:rPr>
                <w:sz w:val="20"/>
              </w:rPr>
              <w:t>Utilidad para extracción NER</w:t>
            </w:r>
          </w:p>
        </w:tc>
      </w:tr>
      <w:tr>
        <w:tc>
          <w:tcPr>
            <w:tcW w:type="dxa" w:w="1417"/>
          </w:tcPr>
          <w:p>
            <w:r/>
            <w:r>
              <w:rPr>
                <w:sz w:val="20"/>
              </w:rPr>
              <w:t>Seg/página</w:t>
            </w:r>
          </w:p>
        </w:tc>
        <w:tc>
          <w:tcPr>
            <w:tcW w:type="dxa" w:w="2835"/>
          </w:tcPr>
          <w:p>
            <w:r/>
            <w:r>
              <w:rPr>
                <w:sz w:val="20"/>
              </w:rPr>
              <w:t>Tiempo medio por página</w:t>
            </w:r>
          </w:p>
        </w:tc>
        <w:tc>
          <w:tcPr>
            <w:tcW w:type="dxa" w:w="1417"/>
          </w:tcPr>
          <w:p>
            <w:r/>
            <w:r>
              <w:rPr>
                <w:sz w:val="20"/>
              </w:rPr>
              <w:t>Segundos</w:t>
            </w:r>
          </w:p>
        </w:tc>
        <w:tc>
          <w:tcPr>
            <w:tcW w:type="dxa" w:w="1134"/>
          </w:tcPr>
          <w:p>
            <w:r/>
            <w:r>
              <w:rPr>
                <w:sz w:val="20"/>
              </w:rPr>
              <w:t>Menor</w:t>
            </w:r>
          </w:p>
        </w:tc>
        <w:tc>
          <w:tcPr>
            <w:tcW w:type="dxa" w:w="2835"/>
          </w:tcPr>
          <w:p>
            <w:r/>
            <w:r>
              <w:rPr>
                <w:sz w:val="20"/>
              </w:rPr>
              <w:t>Costo operativo a escala</w:t>
            </w:r>
          </w:p>
        </w:tc>
      </w:tr>
    </w:tbl>
    <w:p>
      <w:r>
        <w:br w:type="page"/>
      </w:r>
    </w:p>
    <w:p>
      <w:pPr>
        <w:pStyle w:val="Heading1"/>
      </w:pPr>
      <w:r>
        <w:t>4. Comparación de métricas entre motores</w:t>
      </w:r>
    </w:p>
    <w:p>
      <w:pPr>
        <w:pStyle w:val="Heading2"/>
      </w:pPr>
      <w:r>
        <w:t>4.1 Comparación directa de las 4 métricas (valores globales)</w:t>
      </w:r>
    </w:p>
    <w:p>
      <w:r>
        <w:rPr>
          <w:sz w:val="22"/>
        </w:rPr>
        <w:t>La siguiente tabla muestra lado a lado los valores de las 4 métricas calculadas sobre los 15 documentos del Gold Standard, para cada motor. El motor ganador en cada métrica se marca con una indicación explícita.</w:t>
      </w:r>
    </w:p>
    <w:tbl>
      <w:tblPr>
        <w:tblStyle w:val="LightGrid-Accent1"/>
        <w:tblW w:type="auto" w:w="0"/>
        <w:tblLayout w:type="fixed"/>
        <w:tblLook w:firstColumn="1" w:firstRow="1" w:lastColumn="0" w:lastRow="0" w:noHBand="0" w:noVBand="1" w:val="04A0"/>
      </w:tblPr>
      <w:tblGrid>
        <w:gridCol w:w="1568"/>
        <w:gridCol w:w="1568"/>
        <w:gridCol w:w="1568"/>
        <w:gridCol w:w="1568"/>
        <w:gridCol w:w="1568"/>
        <w:gridCol w:w="1568"/>
      </w:tblGrid>
      <w:tr>
        <w:tc>
          <w:tcPr>
            <w:tcW w:type="dxa" w:w="1701"/>
            <w:shd w:fill="2E5C8A"/>
          </w:tcPr>
          <w:p>
            <w:r/>
            <w:r>
              <w:rPr>
                <w:b/>
                <w:color w:val="FFFFFF"/>
                <w:sz w:val="20"/>
              </w:rPr>
              <w:t>Métrica</w:t>
            </w:r>
          </w:p>
        </w:tc>
        <w:tc>
          <w:tcPr>
            <w:tcW w:type="dxa" w:w="1304"/>
            <w:shd w:fill="2E5C8A"/>
          </w:tcPr>
          <w:p>
            <w:r/>
            <w:r>
              <w:rPr>
                <w:b/>
                <w:color w:val="FFFFFF"/>
                <w:sz w:val="20"/>
              </w:rPr>
              <w:t>EasyOCR</w:t>
            </w:r>
          </w:p>
        </w:tc>
        <w:tc>
          <w:tcPr>
            <w:tcW w:type="dxa" w:w="1304"/>
            <w:shd w:fill="2E5C8A"/>
          </w:tcPr>
          <w:p>
            <w:r/>
            <w:r>
              <w:rPr>
                <w:b/>
                <w:color w:val="FFFFFF"/>
                <w:sz w:val="20"/>
              </w:rPr>
              <w:t>Tesseract</w:t>
            </w:r>
          </w:p>
        </w:tc>
        <w:tc>
          <w:tcPr>
            <w:tcW w:type="dxa" w:w="1417"/>
            <w:shd w:fill="2E5C8A"/>
          </w:tcPr>
          <w:p>
            <w:r/>
            <w:r>
              <w:rPr>
                <w:b/>
                <w:color w:val="FFFFFF"/>
                <w:sz w:val="20"/>
              </w:rPr>
              <w:t>Diferencia</w:t>
            </w:r>
          </w:p>
        </w:tc>
        <w:tc>
          <w:tcPr>
            <w:tcW w:type="dxa" w:w="1701"/>
            <w:shd w:fill="2E5C8A"/>
          </w:tcPr>
          <w:p>
            <w:r/>
            <w:r>
              <w:rPr>
                <w:b/>
                <w:color w:val="FFFFFF"/>
                <w:sz w:val="20"/>
              </w:rPr>
              <w:t>Dirección</w:t>
            </w:r>
          </w:p>
        </w:tc>
        <w:tc>
          <w:tcPr>
            <w:tcW w:type="dxa" w:w="2211"/>
            <w:shd w:fill="2E5C8A"/>
          </w:tcPr>
          <w:p>
            <w:r/>
            <w:r>
              <w:rPr>
                <w:b/>
                <w:color w:val="FFFFFF"/>
                <w:sz w:val="20"/>
              </w:rPr>
              <w:t>Motor ganador</w:t>
            </w:r>
          </w:p>
        </w:tc>
      </w:tr>
      <w:tr>
        <w:tc>
          <w:tcPr>
            <w:tcW w:type="dxa" w:w="1701"/>
          </w:tcPr>
          <w:p>
            <w:r/>
            <w:r>
              <w:rPr>
                <w:sz w:val="20"/>
              </w:rPr>
              <w:t>CER (global)</w:t>
            </w:r>
          </w:p>
        </w:tc>
        <w:tc>
          <w:tcPr>
            <w:tcW w:type="dxa" w:w="1304"/>
          </w:tcPr>
          <w:p>
            <w:r/>
            <w:r>
              <w:rPr>
                <w:sz w:val="20"/>
              </w:rPr>
              <w:t>0.276</w:t>
            </w:r>
          </w:p>
        </w:tc>
        <w:tc>
          <w:tcPr>
            <w:tcW w:type="dxa" w:w="1304"/>
          </w:tcPr>
          <w:p>
            <w:r/>
            <w:r>
              <w:rPr>
                <w:sz w:val="20"/>
              </w:rPr>
              <w:t>0.446</w:t>
            </w:r>
          </w:p>
        </w:tc>
        <w:tc>
          <w:tcPr>
            <w:tcW w:type="dxa" w:w="1417"/>
          </w:tcPr>
          <w:p>
            <w:r/>
            <w:r>
              <w:rPr>
                <w:sz w:val="20"/>
              </w:rPr>
              <w:t>0.170</w:t>
            </w:r>
          </w:p>
        </w:tc>
        <w:tc>
          <w:tcPr>
            <w:tcW w:type="dxa" w:w="1701"/>
          </w:tcPr>
          <w:p>
            <w:r/>
            <w:r>
              <w:rPr>
                <w:sz w:val="20"/>
              </w:rPr>
              <w:t>Menor es mejor</w:t>
            </w:r>
          </w:p>
        </w:tc>
        <w:tc>
          <w:tcPr>
            <w:tcW w:type="dxa" w:w="2211"/>
          </w:tcPr>
          <w:p>
            <w:r/>
            <w:r>
              <w:rPr>
                <w:sz w:val="20"/>
              </w:rPr>
              <w:t>EasyOCR (−38%)</w:t>
            </w:r>
          </w:p>
        </w:tc>
      </w:tr>
      <w:tr>
        <w:tc>
          <w:tcPr>
            <w:tcW w:type="dxa" w:w="1701"/>
          </w:tcPr>
          <w:p>
            <w:r/>
            <w:r>
              <w:rPr>
                <w:sz w:val="20"/>
              </w:rPr>
              <w:t>WER (global)</w:t>
            </w:r>
          </w:p>
        </w:tc>
        <w:tc>
          <w:tcPr>
            <w:tcW w:type="dxa" w:w="1304"/>
          </w:tcPr>
          <w:p>
            <w:r/>
            <w:r>
              <w:rPr>
                <w:sz w:val="20"/>
              </w:rPr>
              <w:t>0.476</w:t>
            </w:r>
          </w:p>
        </w:tc>
        <w:tc>
          <w:tcPr>
            <w:tcW w:type="dxa" w:w="1304"/>
          </w:tcPr>
          <w:p>
            <w:r/>
            <w:r>
              <w:rPr>
                <w:sz w:val="20"/>
              </w:rPr>
              <w:t>0.557</w:t>
            </w:r>
          </w:p>
        </w:tc>
        <w:tc>
          <w:tcPr>
            <w:tcW w:type="dxa" w:w="1417"/>
          </w:tcPr>
          <w:p>
            <w:r/>
            <w:r>
              <w:rPr>
                <w:sz w:val="20"/>
              </w:rPr>
              <w:t>0.081</w:t>
            </w:r>
          </w:p>
        </w:tc>
        <w:tc>
          <w:tcPr>
            <w:tcW w:type="dxa" w:w="1701"/>
          </w:tcPr>
          <w:p>
            <w:r/>
            <w:r>
              <w:rPr>
                <w:sz w:val="20"/>
              </w:rPr>
              <w:t>Menor es mejor</w:t>
            </w:r>
          </w:p>
        </w:tc>
        <w:tc>
          <w:tcPr>
            <w:tcW w:type="dxa" w:w="2211"/>
          </w:tcPr>
          <w:p>
            <w:r/>
            <w:r>
              <w:rPr>
                <w:sz w:val="20"/>
              </w:rPr>
              <w:t>EasyOCR (−15%)</w:t>
            </w:r>
          </w:p>
        </w:tc>
      </w:tr>
      <w:tr>
        <w:tc>
          <w:tcPr>
            <w:tcW w:type="dxa" w:w="1701"/>
          </w:tcPr>
          <w:p>
            <w:r/>
            <w:r>
              <w:rPr>
                <w:sz w:val="20"/>
              </w:rPr>
              <w:t>Entity Recall</w:t>
            </w:r>
          </w:p>
        </w:tc>
        <w:tc>
          <w:tcPr>
            <w:tcW w:type="dxa" w:w="1304"/>
          </w:tcPr>
          <w:p>
            <w:r/>
            <w:r>
              <w:rPr>
                <w:sz w:val="20"/>
              </w:rPr>
              <w:t>0.551</w:t>
            </w:r>
          </w:p>
        </w:tc>
        <w:tc>
          <w:tcPr>
            <w:tcW w:type="dxa" w:w="1304"/>
          </w:tcPr>
          <w:p>
            <w:r/>
            <w:r>
              <w:rPr>
                <w:sz w:val="20"/>
              </w:rPr>
              <w:t>0.605</w:t>
            </w:r>
          </w:p>
        </w:tc>
        <w:tc>
          <w:tcPr>
            <w:tcW w:type="dxa" w:w="1417"/>
          </w:tcPr>
          <w:p>
            <w:r/>
            <w:r>
              <w:rPr>
                <w:sz w:val="20"/>
              </w:rPr>
              <w:t>0.054</w:t>
            </w:r>
          </w:p>
        </w:tc>
        <w:tc>
          <w:tcPr>
            <w:tcW w:type="dxa" w:w="1701"/>
          </w:tcPr>
          <w:p>
            <w:r/>
            <w:r>
              <w:rPr>
                <w:sz w:val="20"/>
              </w:rPr>
              <w:t>Mayor es mejor</w:t>
            </w:r>
          </w:p>
        </w:tc>
        <w:tc>
          <w:tcPr>
            <w:tcW w:type="dxa" w:w="2211"/>
          </w:tcPr>
          <w:p>
            <w:r/>
            <w:r>
              <w:rPr>
                <w:sz w:val="20"/>
              </w:rPr>
              <w:t>Tesseract (+10%)</w:t>
            </w:r>
          </w:p>
        </w:tc>
      </w:tr>
      <w:tr>
        <w:tc>
          <w:tcPr>
            <w:tcW w:type="dxa" w:w="1701"/>
          </w:tcPr>
          <w:p>
            <w:r/>
            <w:r>
              <w:rPr>
                <w:sz w:val="20"/>
              </w:rPr>
              <w:t>Segundos/página</w:t>
            </w:r>
          </w:p>
        </w:tc>
        <w:tc>
          <w:tcPr>
            <w:tcW w:type="dxa" w:w="1304"/>
          </w:tcPr>
          <w:p>
            <w:r/>
            <w:r>
              <w:rPr>
                <w:sz w:val="20"/>
              </w:rPr>
              <w:t>46.02</w:t>
            </w:r>
          </w:p>
        </w:tc>
        <w:tc>
          <w:tcPr>
            <w:tcW w:type="dxa" w:w="1304"/>
          </w:tcPr>
          <w:p>
            <w:r/>
            <w:r>
              <w:rPr>
                <w:sz w:val="20"/>
              </w:rPr>
              <w:t>5.06</w:t>
            </w:r>
          </w:p>
        </w:tc>
        <w:tc>
          <w:tcPr>
            <w:tcW w:type="dxa" w:w="1417"/>
          </w:tcPr>
          <w:p>
            <w:r/>
            <w:r>
              <w:rPr>
                <w:sz w:val="20"/>
              </w:rPr>
              <w:t>40.96</w:t>
            </w:r>
          </w:p>
        </w:tc>
        <w:tc>
          <w:tcPr>
            <w:tcW w:type="dxa" w:w="1701"/>
          </w:tcPr>
          <w:p>
            <w:r/>
            <w:r>
              <w:rPr>
                <w:sz w:val="20"/>
              </w:rPr>
              <w:t>Menor es mejor</w:t>
            </w:r>
          </w:p>
        </w:tc>
        <w:tc>
          <w:tcPr>
            <w:tcW w:type="dxa" w:w="2211"/>
          </w:tcPr>
          <w:p>
            <w:r/>
            <w:r>
              <w:rPr>
                <w:sz w:val="20"/>
              </w:rPr>
              <w:t>Tesseract (9× más rápido)</w:t>
            </w:r>
          </w:p>
        </w:tc>
      </w:tr>
    </w:tbl>
    <w:p>
      <w:pPr>
        <w:jc w:val="center"/>
      </w:pPr>
      <w:r>
        <w:drawing>
          <wp:inline xmlns:a="http://schemas.openxmlformats.org/drawingml/2006/main" xmlns:pic="http://schemas.openxmlformats.org/drawingml/2006/picture">
            <wp:extent cx="6120000" cy="1978415"/>
            <wp:docPr id="3" name="Picture 3"/>
            <wp:cNvGraphicFramePr>
              <a:graphicFrameLocks noChangeAspect="1"/>
            </wp:cNvGraphicFramePr>
            <a:graphic>
              <a:graphicData uri="http://schemas.openxmlformats.org/drawingml/2006/picture">
                <pic:pic>
                  <pic:nvPicPr>
                    <pic:cNvPr id="0" name="fig_metricas_comparacion.png"/>
                    <pic:cNvPicPr/>
                  </pic:nvPicPr>
                  <pic:blipFill>
                    <a:blip r:embed="rId11"/>
                    <a:stretch>
                      <a:fillRect/>
                    </a:stretch>
                  </pic:blipFill>
                  <pic:spPr>
                    <a:xfrm>
                      <a:off x="0" y="0"/>
                      <a:ext cx="6120000" cy="1978415"/>
                    </a:xfrm>
                    <a:prstGeom prst="rect"/>
                  </pic:spPr>
                </pic:pic>
              </a:graphicData>
            </a:graphic>
          </wp:inline>
        </w:drawing>
      </w:r>
    </w:p>
    <w:p>
      <w:pPr>
        <w:jc w:val="center"/>
      </w:pPr>
      <w:r>
        <w:rPr>
          <w:i/>
          <w:color w:val="555555"/>
          <w:sz w:val="18"/>
        </w:rPr>
        <w:t>Figura 3. Comparación visual de las 4 métricas calculadas sobre el Gold Standard. El borde verde y la etiqueta "GANA" indican el motor vencedor en cada métrica.</w:t>
      </w:r>
    </w:p>
    <w:p>
      <w:r>
        <w:rPr>
          <w:sz w:val="22"/>
        </w:rPr>
        <w:t>Lectura global:</w:t>
      </w:r>
    </w:p>
    <w:p>
      <w:pPr>
        <w:pStyle w:val="ListBullet"/>
      </w:pPr>
      <w:r>
        <w:t>EasyOCR gana en métricas de calidad textual (CER y WER) con márgenes significativos.</w:t>
      </w:r>
    </w:p>
    <w:p>
      <w:pPr>
        <w:pStyle w:val="ListBullet"/>
      </w:pPr>
      <w:r>
        <w:t>Tesseract gana en entity_recall marginalmente (+10%) y en velocidad de forma decisiva (9×).</w:t>
      </w:r>
    </w:p>
    <w:p>
      <w:pPr>
        <w:pStyle w:val="ListBullet"/>
      </w:pPr>
      <w:r>
        <w:t>Ningún motor gana en las 4 métricas simultáneamente — hay compromisos inherentes.</w:t>
      </w:r>
    </w:p>
    <w:p>
      <w:pPr>
        <w:pStyle w:val="Heading2"/>
      </w:pPr>
      <w:r>
        <w:t>4.2 Análisis por tipología documental (el hallazgo principal)</w:t>
      </w:r>
    </w:p>
    <w:p>
      <w:r>
        <w:rPr>
          <w:sz w:val="22"/>
        </w:rPr>
        <w:t>La agregación global oculta un comportamiento crítico: cada motor domina tipologías documentales distintas. Esta tabla desglosa por tipología los resultados del CER y el entity_recall.</w:t>
      </w:r>
    </w:p>
    <w:tbl>
      <w:tblPr>
        <w:tblStyle w:val="LightGrid-Accent1"/>
        <w:tblW w:type="auto" w:w="0"/>
        <w:tblLayout w:type="fixed"/>
        <w:tblLook w:firstColumn="1" w:firstRow="1" w:lastColumn="0" w:lastRow="0" w:noHBand="0" w:noVBand="1" w:val="04A0"/>
      </w:tblPr>
      <w:tblGrid>
        <w:gridCol w:w="1568"/>
        <w:gridCol w:w="1568"/>
        <w:gridCol w:w="1568"/>
        <w:gridCol w:w="1568"/>
        <w:gridCol w:w="1568"/>
        <w:gridCol w:w="1568"/>
      </w:tblGrid>
      <w:tr>
        <w:tc>
          <w:tcPr>
            <w:tcW w:type="dxa" w:w="1984"/>
            <w:shd w:fill="2E5C8A"/>
          </w:tcPr>
          <w:p>
            <w:r/>
            <w:r>
              <w:rPr>
                <w:b/>
                <w:color w:val="FFFFFF"/>
                <w:sz w:val="20"/>
              </w:rPr>
              <w:t>Tipología</w:t>
            </w:r>
          </w:p>
        </w:tc>
        <w:tc>
          <w:tcPr>
            <w:tcW w:type="dxa" w:w="1304"/>
            <w:shd w:fill="2E5C8A"/>
          </w:tcPr>
          <w:p>
            <w:r/>
            <w:r>
              <w:rPr>
                <w:b/>
                <w:color w:val="FFFFFF"/>
                <w:sz w:val="20"/>
              </w:rPr>
              <w:t>EasyOCR CER</w:t>
            </w:r>
          </w:p>
        </w:tc>
        <w:tc>
          <w:tcPr>
            <w:tcW w:type="dxa" w:w="1417"/>
            <w:shd w:fill="2E5C8A"/>
          </w:tcPr>
          <w:p>
            <w:r/>
            <w:r>
              <w:rPr>
                <w:b/>
                <w:color w:val="FFFFFF"/>
                <w:sz w:val="20"/>
              </w:rPr>
              <w:t>Tesseract CER</w:t>
            </w:r>
          </w:p>
        </w:tc>
        <w:tc>
          <w:tcPr>
            <w:tcW w:type="dxa" w:w="1417"/>
            <w:shd w:fill="2E5C8A"/>
          </w:tcPr>
          <w:p>
            <w:r/>
            <w:r>
              <w:rPr>
                <w:b/>
                <w:color w:val="FFFFFF"/>
                <w:sz w:val="20"/>
              </w:rPr>
              <w:t>EasyOCR ent.rec</w:t>
            </w:r>
          </w:p>
        </w:tc>
        <w:tc>
          <w:tcPr>
            <w:tcW w:type="dxa" w:w="1531"/>
            <w:shd w:fill="2E5C8A"/>
          </w:tcPr>
          <w:p>
            <w:r/>
            <w:r>
              <w:rPr>
                <w:b/>
                <w:color w:val="FFFFFF"/>
                <w:sz w:val="20"/>
              </w:rPr>
              <w:t>Tesseract ent.rec</w:t>
            </w:r>
          </w:p>
        </w:tc>
        <w:tc>
          <w:tcPr>
            <w:tcW w:type="dxa" w:w="1984"/>
            <w:shd w:fill="2E5C8A"/>
          </w:tcPr>
          <w:p>
            <w:r/>
            <w:r>
              <w:rPr>
                <w:b/>
                <w:color w:val="FFFFFF"/>
                <w:sz w:val="20"/>
              </w:rPr>
              <w:t>Ganador</w:t>
            </w:r>
          </w:p>
        </w:tc>
      </w:tr>
      <w:tr>
        <w:tc>
          <w:tcPr>
            <w:tcW w:type="dxa" w:w="1984"/>
          </w:tcPr>
          <w:p>
            <w:r/>
            <w:r>
              <w:rPr>
                <w:sz w:val="20"/>
              </w:rPr>
              <w:t>Cédula (6 docs)</w:t>
            </w:r>
          </w:p>
        </w:tc>
        <w:tc>
          <w:tcPr>
            <w:tcW w:type="dxa" w:w="1304"/>
          </w:tcPr>
          <w:p>
            <w:r/>
            <w:r>
              <w:rPr>
                <w:sz w:val="20"/>
              </w:rPr>
              <w:t>0.333</w:t>
            </w:r>
          </w:p>
        </w:tc>
        <w:tc>
          <w:tcPr>
            <w:tcW w:type="dxa" w:w="1417"/>
          </w:tcPr>
          <w:p>
            <w:r/>
            <w:r>
              <w:rPr>
                <w:sz w:val="20"/>
              </w:rPr>
              <w:t>0.782</w:t>
            </w:r>
          </w:p>
        </w:tc>
        <w:tc>
          <w:tcPr>
            <w:tcW w:type="dxa" w:w="1417"/>
          </w:tcPr>
          <w:p>
            <w:r/>
            <w:r>
              <w:rPr>
                <w:sz w:val="20"/>
              </w:rPr>
              <w:t>0.444</w:t>
            </w:r>
          </w:p>
        </w:tc>
        <w:tc>
          <w:tcPr>
            <w:tcW w:type="dxa" w:w="1531"/>
          </w:tcPr>
          <w:p>
            <w:r/>
            <w:r>
              <w:rPr>
                <w:sz w:val="20"/>
              </w:rPr>
              <w:t>0.111</w:t>
            </w:r>
          </w:p>
        </w:tc>
        <w:tc>
          <w:tcPr>
            <w:tcW w:type="dxa" w:w="1984"/>
          </w:tcPr>
          <w:p>
            <w:r/>
            <w:r>
              <w:rPr>
                <w:sz w:val="20"/>
              </w:rPr>
              <w:t>EasyOCR (abrumador)</w:t>
            </w:r>
          </w:p>
        </w:tc>
      </w:tr>
      <w:tr>
        <w:tc>
          <w:tcPr>
            <w:tcW w:type="dxa" w:w="1984"/>
          </w:tcPr>
          <w:p>
            <w:r/>
            <w:r>
              <w:rPr>
                <w:sz w:val="20"/>
              </w:rPr>
              <w:t>RUT (3 docs)</w:t>
            </w:r>
          </w:p>
        </w:tc>
        <w:tc>
          <w:tcPr>
            <w:tcW w:type="dxa" w:w="1304"/>
          </w:tcPr>
          <w:p>
            <w:r/>
            <w:r>
              <w:rPr>
                <w:sz w:val="20"/>
              </w:rPr>
              <w:t>0.289</w:t>
            </w:r>
          </w:p>
        </w:tc>
        <w:tc>
          <w:tcPr>
            <w:tcW w:type="dxa" w:w="1417"/>
          </w:tcPr>
          <w:p>
            <w:r/>
            <w:r>
              <w:rPr>
                <w:sz w:val="20"/>
              </w:rPr>
              <w:t>0.394</w:t>
            </w:r>
          </w:p>
        </w:tc>
        <w:tc>
          <w:tcPr>
            <w:tcW w:type="dxa" w:w="1417"/>
          </w:tcPr>
          <w:p>
            <w:r/>
            <w:r>
              <w:rPr>
                <w:sz w:val="20"/>
              </w:rPr>
              <w:t>0.889</w:t>
            </w:r>
          </w:p>
        </w:tc>
        <w:tc>
          <w:tcPr>
            <w:tcW w:type="dxa" w:w="1531"/>
          </w:tcPr>
          <w:p>
            <w:r/>
            <w:r>
              <w:rPr>
                <w:sz w:val="20"/>
              </w:rPr>
              <w:t>0.889</w:t>
            </w:r>
          </w:p>
        </w:tc>
        <w:tc>
          <w:tcPr>
            <w:tcW w:type="dxa" w:w="1984"/>
          </w:tcPr>
          <w:p>
            <w:r/>
            <w:r>
              <w:rPr>
                <w:sz w:val="20"/>
              </w:rPr>
              <w:t>Mixto</w:t>
            </w:r>
          </w:p>
        </w:tc>
      </w:tr>
      <w:tr>
        <w:tc>
          <w:tcPr>
            <w:tcW w:type="dxa" w:w="1984"/>
          </w:tcPr>
          <w:p>
            <w:r/>
            <w:r>
              <w:rPr>
                <w:sz w:val="20"/>
              </w:rPr>
              <w:t>Póliza (3 docs)</w:t>
            </w:r>
          </w:p>
        </w:tc>
        <w:tc>
          <w:tcPr>
            <w:tcW w:type="dxa" w:w="1304"/>
          </w:tcPr>
          <w:p>
            <w:r/>
            <w:r>
              <w:rPr>
                <w:sz w:val="20"/>
              </w:rPr>
              <w:t>0.329</w:t>
            </w:r>
          </w:p>
        </w:tc>
        <w:tc>
          <w:tcPr>
            <w:tcW w:type="dxa" w:w="1417"/>
          </w:tcPr>
          <w:p>
            <w:r/>
            <w:r>
              <w:rPr>
                <w:sz w:val="20"/>
              </w:rPr>
              <w:t>0.226</w:t>
            </w:r>
          </w:p>
        </w:tc>
        <w:tc>
          <w:tcPr>
            <w:tcW w:type="dxa" w:w="1417"/>
          </w:tcPr>
          <w:p>
            <w:r/>
            <w:r>
              <w:rPr>
                <w:sz w:val="20"/>
              </w:rPr>
              <w:t>0.649</w:t>
            </w:r>
          </w:p>
        </w:tc>
        <w:tc>
          <w:tcPr>
            <w:tcW w:type="dxa" w:w="1531"/>
          </w:tcPr>
          <w:p>
            <w:r/>
            <w:r>
              <w:rPr>
                <w:sz w:val="20"/>
              </w:rPr>
              <w:t>0.951</w:t>
            </w:r>
          </w:p>
        </w:tc>
        <w:tc>
          <w:tcPr>
            <w:tcW w:type="dxa" w:w="1984"/>
          </w:tcPr>
          <w:p>
            <w:r/>
            <w:r>
              <w:rPr>
                <w:sz w:val="20"/>
              </w:rPr>
              <w:t>Tesseract</w:t>
            </w:r>
          </w:p>
        </w:tc>
      </w:tr>
      <w:tr>
        <w:tc>
          <w:tcPr>
            <w:tcW w:type="dxa" w:w="1984"/>
          </w:tcPr>
          <w:p>
            <w:r/>
            <w:r>
              <w:rPr>
                <w:sz w:val="20"/>
              </w:rPr>
              <w:t>Cámara Comercio (3 docs)</w:t>
            </w:r>
          </w:p>
        </w:tc>
        <w:tc>
          <w:tcPr>
            <w:tcW w:type="dxa" w:w="1304"/>
          </w:tcPr>
          <w:p>
            <w:r/>
            <w:r>
              <w:rPr>
                <w:sz w:val="20"/>
              </w:rPr>
              <w:t>0.096</w:t>
            </w:r>
          </w:p>
        </w:tc>
        <w:tc>
          <w:tcPr>
            <w:tcW w:type="dxa" w:w="1417"/>
          </w:tcPr>
          <w:p>
            <w:r/>
            <w:r>
              <w:rPr>
                <w:sz w:val="20"/>
              </w:rPr>
              <w:t>0.047</w:t>
            </w:r>
          </w:p>
        </w:tc>
        <w:tc>
          <w:tcPr>
            <w:tcW w:type="dxa" w:w="1417"/>
          </w:tcPr>
          <w:p>
            <w:r/>
            <w:r>
              <w:rPr>
                <w:sz w:val="20"/>
              </w:rPr>
              <w:t>0.326</w:t>
            </w:r>
          </w:p>
        </w:tc>
        <w:tc>
          <w:tcPr>
            <w:tcW w:type="dxa" w:w="1531"/>
          </w:tcPr>
          <w:p>
            <w:r/>
            <w:r>
              <w:rPr>
                <w:sz w:val="20"/>
              </w:rPr>
              <w:t>0.963</w:t>
            </w:r>
          </w:p>
        </w:tc>
        <w:tc>
          <w:tcPr>
            <w:tcW w:type="dxa" w:w="1984"/>
          </w:tcPr>
          <w:p>
            <w:r/>
            <w:r>
              <w:rPr>
                <w:sz w:val="20"/>
              </w:rPr>
              <w:t>Tesseract (contundente)</w:t>
            </w:r>
          </w:p>
        </w:tc>
      </w:tr>
    </w:tbl>
    <w:p>
      <w:pPr>
        <w:jc w:val="center"/>
      </w:pPr>
      <w:r>
        <w:drawing>
          <wp:inline xmlns:a="http://schemas.openxmlformats.org/drawingml/2006/main" xmlns:pic="http://schemas.openxmlformats.org/drawingml/2006/picture">
            <wp:extent cx="6120000" cy="2308837"/>
            <wp:docPr id="4" name="Picture 4"/>
            <wp:cNvGraphicFramePr>
              <a:graphicFrameLocks noChangeAspect="1"/>
            </wp:cNvGraphicFramePr>
            <a:graphic>
              <a:graphicData uri="http://schemas.openxmlformats.org/drawingml/2006/picture">
                <pic:pic>
                  <pic:nvPicPr>
                    <pic:cNvPr id="0" name="fig_comparacion_motores.png"/>
                    <pic:cNvPicPr/>
                  </pic:nvPicPr>
                  <pic:blipFill>
                    <a:blip r:embed="rId12"/>
                    <a:stretch>
                      <a:fillRect/>
                    </a:stretch>
                  </pic:blipFill>
                  <pic:spPr>
                    <a:xfrm>
                      <a:off x="0" y="0"/>
                      <a:ext cx="6120000" cy="2308837"/>
                    </a:xfrm>
                    <a:prstGeom prst="rect"/>
                  </pic:spPr>
                </pic:pic>
              </a:graphicData>
            </a:graphic>
          </wp:inline>
        </w:drawing>
      </w:r>
    </w:p>
    <w:p>
      <w:pPr>
        <w:jc w:val="center"/>
      </w:pPr>
      <w:r>
        <w:rPr>
          <w:i/>
          <w:color w:val="555555"/>
          <w:sz w:val="18"/>
        </w:rPr>
        <w:t>Figura 4. Comparación por tipología documental. Izquierda: CER (menor es mejor). Derecha: Entity Recall (mayor es mejor). Se observa claramente el régimen mixto: EasyOCR domina Cédulas; Tesseract domina Cámara de Comercio.</w:t>
      </w:r>
    </w:p>
    <w:p>
      <w:pPr>
        <w:pStyle w:val="Heading2"/>
      </w:pPr>
      <w:r>
        <w:t>4.3 Casos extremos y discrepancias</w:t>
      </w:r>
    </w:p>
    <w:p>
      <w:r>
        <w:rPr>
          <w:sz w:val="22"/>
        </w:rPr>
        <w:t>Los tres documentos con mayor diferencia de CER entre motores son todos Cédulas:</w:t>
      </w:r>
    </w:p>
    <w:tbl>
      <w:tblPr>
        <w:tblStyle w:val="LightGrid-Accent1"/>
        <w:tblW w:type="auto" w:w="0"/>
        <w:tblLayout w:type="fixed"/>
        <w:tblLook w:firstColumn="1" w:firstRow="1" w:lastColumn="0" w:lastRow="0" w:noHBand="0" w:noVBand="1" w:val="04A0"/>
      </w:tblPr>
      <w:tblGrid>
        <w:gridCol w:w="2351"/>
        <w:gridCol w:w="2351"/>
        <w:gridCol w:w="2351"/>
        <w:gridCol w:w="2351"/>
      </w:tblGrid>
      <w:tr>
        <w:tc>
          <w:tcPr>
            <w:tcW w:type="dxa" w:w="3402"/>
            <w:shd w:fill="2E5C8A"/>
          </w:tcPr>
          <w:p>
            <w:r/>
            <w:r>
              <w:rPr>
                <w:b/>
                <w:color w:val="FFFFFF"/>
                <w:sz w:val="20"/>
              </w:rPr>
              <w:t>Documento</w:t>
            </w:r>
          </w:p>
        </w:tc>
        <w:tc>
          <w:tcPr>
            <w:tcW w:type="dxa" w:w="1417"/>
            <w:shd w:fill="2E5C8A"/>
          </w:tcPr>
          <w:p>
            <w:r/>
            <w:r>
              <w:rPr>
                <w:b/>
                <w:color w:val="FFFFFF"/>
                <w:sz w:val="20"/>
              </w:rPr>
              <w:t>EasyOCR CER</w:t>
            </w:r>
          </w:p>
        </w:tc>
        <w:tc>
          <w:tcPr>
            <w:tcW w:type="dxa" w:w="1417"/>
            <w:shd w:fill="2E5C8A"/>
          </w:tcPr>
          <w:p>
            <w:r/>
            <w:r>
              <w:rPr>
                <w:b/>
                <w:color w:val="FFFFFF"/>
                <w:sz w:val="20"/>
              </w:rPr>
              <w:t>Tesseract CER</w:t>
            </w:r>
          </w:p>
        </w:tc>
        <w:tc>
          <w:tcPr>
            <w:tcW w:type="dxa" w:w="1417"/>
            <w:shd w:fill="2E5C8A"/>
          </w:tcPr>
          <w:p>
            <w:r/>
            <w:r>
              <w:rPr>
                <w:b/>
                <w:color w:val="FFFFFF"/>
                <w:sz w:val="20"/>
              </w:rPr>
              <w:t>Diferencia</w:t>
            </w:r>
          </w:p>
        </w:tc>
      </w:tr>
      <w:tr>
        <w:tc>
          <w:tcPr>
            <w:tcW w:type="dxa" w:w="3402"/>
          </w:tcPr>
          <w:p>
            <w:r/>
            <w:r>
              <w:rPr>
                <w:sz w:val="20"/>
              </w:rPr>
              <w:t>23 cc.pdf</w:t>
            </w:r>
          </w:p>
        </w:tc>
        <w:tc>
          <w:tcPr>
            <w:tcW w:type="dxa" w:w="1417"/>
          </w:tcPr>
          <w:p>
            <w:r/>
            <w:r>
              <w:rPr>
                <w:sz w:val="20"/>
              </w:rPr>
              <w:t>0.261</w:t>
            </w:r>
          </w:p>
        </w:tc>
        <w:tc>
          <w:tcPr>
            <w:tcW w:type="dxa" w:w="1417"/>
          </w:tcPr>
          <w:p>
            <w:r/>
            <w:r>
              <w:rPr>
                <w:sz w:val="20"/>
              </w:rPr>
              <w:t>0.903</w:t>
            </w:r>
          </w:p>
        </w:tc>
        <w:tc>
          <w:tcPr>
            <w:tcW w:type="dxa" w:w="1417"/>
          </w:tcPr>
          <w:p>
            <w:r/>
            <w:r>
              <w:rPr>
                <w:sz w:val="20"/>
              </w:rPr>
              <w:t>0.642</w:t>
            </w:r>
          </w:p>
        </w:tc>
      </w:tr>
      <w:tr>
        <w:tc>
          <w:tcPr>
            <w:tcW w:type="dxa" w:w="3402"/>
          </w:tcPr>
          <w:p>
            <w:r/>
            <w:r>
              <w:rPr>
                <w:sz w:val="20"/>
              </w:rPr>
              <w:t>cc Julieth Payares.pdf</w:t>
            </w:r>
          </w:p>
        </w:tc>
        <w:tc>
          <w:tcPr>
            <w:tcW w:type="dxa" w:w="1417"/>
          </w:tcPr>
          <w:p>
            <w:r/>
            <w:r>
              <w:rPr>
                <w:sz w:val="20"/>
              </w:rPr>
              <w:t>0.416</w:t>
            </w:r>
          </w:p>
        </w:tc>
        <w:tc>
          <w:tcPr>
            <w:tcW w:type="dxa" w:w="1417"/>
          </w:tcPr>
          <w:p>
            <w:r/>
            <w:r>
              <w:rPr>
                <w:sz w:val="20"/>
              </w:rPr>
              <w:t>0.955</w:t>
            </w:r>
          </w:p>
        </w:tc>
        <w:tc>
          <w:tcPr>
            <w:tcW w:type="dxa" w:w="1417"/>
          </w:tcPr>
          <w:p>
            <w:r/>
            <w:r>
              <w:rPr>
                <w:sz w:val="20"/>
              </w:rPr>
              <w:t>0.540</w:t>
            </w:r>
          </w:p>
        </w:tc>
      </w:tr>
      <w:tr>
        <w:tc>
          <w:tcPr>
            <w:tcW w:type="dxa" w:w="3402"/>
          </w:tcPr>
          <w:p>
            <w:r/>
            <w:r>
              <w:rPr>
                <w:sz w:val="20"/>
              </w:rPr>
              <w:t>CC Yerlis cabarcas.pdf</w:t>
            </w:r>
          </w:p>
        </w:tc>
        <w:tc>
          <w:tcPr>
            <w:tcW w:type="dxa" w:w="1417"/>
          </w:tcPr>
          <w:p>
            <w:r/>
            <w:r>
              <w:rPr>
                <w:sz w:val="20"/>
              </w:rPr>
              <w:t>0.460</w:t>
            </w:r>
          </w:p>
        </w:tc>
        <w:tc>
          <w:tcPr>
            <w:tcW w:type="dxa" w:w="1417"/>
          </w:tcPr>
          <w:p>
            <w:r/>
            <w:r>
              <w:rPr>
                <w:sz w:val="20"/>
              </w:rPr>
              <w:t>0.998</w:t>
            </w:r>
          </w:p>
        </w:tc>
        <w:tc>
          <w:tcPr>
            <w:tcW w:type="dxa" w:w="1417"/>
          </w:tcPr>
          <w:p>
            <w:r/>
            <w:r>
              <w:rPr>
                <w:sz w:val="20"/>
              </w:rPr>
              <w:t>0.538</w:t>
            </w:r>
          </w:p>
        </w:tc>
      </w:tr>
    </w:tbl>
    <w:p>
      <w:r>
        <w:rPr>
          <w:sz w:val="22"/>
        </w:rPr>
        <w:t>Tesseract colapsa sistemáticamente en Cédulas (CER &gt; 0.9 significa texto prácticamente irrecuperable). Este patrón confirma que la decisión de motor no puede basarse únicamente en métricas agregadas — hay que analizar el comportamiento por tipología.</w:t>
      </w:r>
    </w:p>
    <w:p>
      <w:pPr>
        <w:pStyle w:val="Heading2"/>
      </w:pPr>
      <w:r>
        <w:t>4.4 Interpretación técnica de los resultados</w:t>
      </w:r>
    </w:p>
    <w:p>
      <w:r>
        <w:rPr>
          <w:b/>
          <w:sz w:val="22"/>
        </w:rPr>
        <w:t xml:space="preserve">¿Por qué Tesseract falla en Cédulas? </w:t>
      </w:r>
      <w:r>
        <w:rPr>
          <w:sz w:val="22"/>
        </w:rPr>
        <w:t>La cédula colombiana combina condiciones adversas para un clasificador LSTM clásico: texto pequeño (6-8 pt), hologramas superpuestos, columnas apretadas y bajo contraste. Tesseract pasa la imagen completa al LSTM, que se satura. En contraste, EasyOCR detecta regiones de texto primero (mediante CRAFT) y luego reconoce cada región por separado, aislando el ruido visual. Esta estrategia de detección previa está documentada como ventajosa en Baek et al. 2019.</w:t>
      </w:r>
    </w:p>
    <w:p>
      <w:r>
        <w:rPr>
          <w:b/>
          <w:sz w:val="22"/>
        </w:rPr>
        <w:t xml:space="preserve">¿Por qué Tesseract gana en Cámara de Comercio? </w:t>
      </w:r>
      <w:r>
        <w:rPr>
          <w:sz w:val="22"/>
        </w:rPr>
        <w:t>Los certificados de CC son el antípoda: texto estándar de 9-10 pt, sin elementos superpuestos, columnas anchas, alto contraste. En este régimen el LSTM clásico funciona excelentemente y gana adicionalmente por velocidad (9× más rápido que EasyOCR).</w:t>
      </w:r>
    </w:p>
    <w:p>
      <w:r>
        <w:br w:type="page"/>
      </w:r>
    </w:p>
    <w:p>
      <w:pPr>
        <w:pStyle w:val="Heading1"/>
      </w:pPr>
      <w:r>
        <w:t>5. Decisión final y justificación</w:t>
      </w:r>
    </w:p>
    <w:p>
      <w:pPr>
        <w:jc w:val="center"/>
      </w:pPr>
      <w:r>
        <w:drawing>
          <wp:inline xmlns:a="http://schemas.openxmlformats.org/drawingml/2006/main" xmlns:pic="http://schemas.openxmlformats.org/drawingml/2006/picture">
            <wp:extent cx="5040000" cy="3100557"/>
            <wp:docPr id="5" name="Picture 5"/>
            <wp:cNvGraphicFramePr>
              <a:graphicFrameLocks noChangeAspect="1"/>
            </wp:cNvGraphicFramePr>
            <a:graphic>
              <a:graphicData uri="http://schemas.openxmlformats.org/drawingml/2006/picture">
                <pic:pic>
                  <pic:nvPicPr>
                    <pic:cNvPr id="0" name="fig_tradeoff.png"/>
                    <pic:cNvPicPr/>
                  </pic:nvPicPr>
                  <pic:blipFill>
                    <a:blip r:embed="rId13"/>
                    <a:stretch>
                      <a:fillRect/>
                    </a:stretch>
                  </pic:blipFill>
                  <pic:spPr>
                    <a:xfrm>
                      <a:off x="0" y="0"/>
                      <a:ext cx="5040000" cy="3100557"/>
                    </a:xfrm>
                    <a:prstGeom prst="rect"/>
                  </pic:spPr>
                </pic:pic>
              </a:graphicData>
            </a:graphic>
          </wp:inline>
        </w:drawing>
      </w:r>
    </w:p>
    <w:p>
      <w:pPr>
        <w:jc w:val="center"/>
      </w:pPr>
      <w:r>
        <w:rPr>
          <w:i/>
          <w:color w:val="555555"/>
          <w:sz w:val="18"/>
        </w:rPr>
        <w:t>Figura 5. Compromiso calidad vs velocidad. El punto ideal está en la esquina inferior-izquierda (bajo CER, baja latencia).</w:t>
      </w:r>
    </w:p>
    <w:p>
      <w:pPr>
        <w:pStyle w:val="Heading2"/>
      </w:pPr>
      <w:r>
        <w:t>5.1 Regla de decisión preestablecida</w:t>
      </w:r>
    </w:p>
    <w:p>
      <w:r>
        <w:rPr>
          <w:sz w:val="22"/>
        </w:rPr>
        <w:t>Para garantizar objetividad metodológica, la regla de decisión se definió por escrito antes de ejecutar el benchmark. Este orden previene el sesgo de adaptar la regla a los resultados.</w:t>
      </w:r>
    </w:p>
    <w:p>
      <w:pPr>
        <w:ind w:left="283"/>
        <w:shd w:fill="F5F5F5"/>
      </w:pPr>
      <w:r>
        <w:rPr>
          <w:rFonts w:ascii="Consolas" w:hAnsi="Consolas"/>
          <w:sz w:val="18"/>
        </w:rPr>
        <w:t>Regla 1: gana el motor con menor CER global, si su tiempo es menor a 2× el del motor más rápido.</w:t>
        <w:br/>
        <w:t>Regla 2: si hay empate en CER (diferencia &lt; 2%), gana el motor de mayor entity_recall.</w:t>
        <w:br/>
        <w:t>Regla 3: si cada motor domina tipologías distintas, implementar selector híbrido.</w:t>
      </w:r>
    </w:p>
    <w:p>
      <w:pPr>
        <w:pStyle w:val="Heading2"/>
      </w:pPr>
      <w:r>
        <w:t>5.2 Aplicación de la regla a los resultados</w:t>
      </w:r>
    </w:p>
    <w:p>
      <w:r>
        <w:rPr>
          <w:b/>
          <w:sz w:val="22"/>
        </w:rPr>
        <w:t xml:space="preserve">Regla 1: </w:t>
      </w:r>
      <w:r>
        <w:rPr>
          <w:sz w:val="22"/>
        </w:rPr>
        <w:t>EasyOCR tiene menor CER global (0.276 vs 0.446), pero es 9× más lento que Tesseract. 9 &gt; 2, por tanto no cumple la restricción de tiempo. No gana por regla 1.</w:t>
      </w:r>
    </w:p>
    <w:p>
      <w:r>
        <w:rPr>
          <w:b/>
          <w:sz w:val="22"/>
        </w:rPr>
        <w:t xml:space="preserve">Regla 2: </w:t>
      </w:r>
      <w:r>
        <w:rPr>
          <w:sz w:val="22"/>
        </w:rPr>
        <w:t>la diferencia de CER (17 puntos absolutos) es &gt; 2%. La regla de empate no aplica.</w:t>
      </w:r>
    </w:p>
    <w:p>
      <w:r>
        <w:rPr>
          <w:b/>
          <w:sz w:val="22"/>
        </w:rPr>
        <w:t xml:space="preserve">Regla 3: </w:t>
      </w:r>
      <w:r>
        <w:rPr>
          <w:sz w:val="22"/>
        </w:rPr>
        <w:t xml:space="preserve">cada motor domina tipologías distintas (EasyOCR en Cédulas; Tesseract en Cámara de Comercio y Póliza). </w:t>
      </w:r>
      <w:r>
        <w:rPr>
          <w:b/>
          <w:sz w:val="22"/>
        </w:rPr>
        <w:t>Esta regla aplica.</w:t>
      </w:r>
    </w:p>
    <w:p>
      <w:pPr>
        <w:pStyle w:val="Heading2"/>
      </w:pPr>
      <w:r>
        <w:t>5.3 Decisión final: EasyOCR unificado</w:t>
      </w:r>
    </w:p>
    <w:p>
      <w:r>
        <w:rPr>
          <w:sz w:val="22"/>
        </w:rPr>
        <w:t>Formalmente la regla 3 sugiere un selector híbrido (un motor distinto por tipología). Sin embargo, el proyecto adoptó EasyOCR unificado para todos los documentos escaneados. Las razones de esta decisión arquitectural son:</w:t>
      </w:r>
    </w:p>
    <w:p>
      <w:pPr>
        <w:pStyle w:val="ListBullet"/>
      </w:pPr>
      <w:r>
        <w:t>Las Cédulas son la tipología MÁS numerosa del corpus (32.9%, 334 documentos). EasyOCR es crítico para esta tipología, y su CER en las otras tipologías es aceptable (no catastrófico).</w:t>
      </w:r>
    </w:p>
    <w:p>
      <w:pPr>
        <w:pStyle w:val="ListBullet"/>
      </w:pPr>
      <w:r>
        <w:t>Simplicidad del pipeline: un solo motor reduce puntos de falla, facilita mantenimiento y evita ramificaciones condicionales en el código productivo.</w:t>
      </w:r>
    </w:p>
    <w:p>
      <w:pPr>
        <w:pStyle w:val="ListBullet"/>
      </w:pPr>
      <w:r>
        <w:t>Con GPU futuro: EasyOCR pasa de 46 s/pág a ~1 s/pág (40× más rápido). Esto elimina la ventaja principal de Tesseract y unifica el pipeline en un solo motor de alta calidad.</w:t>
      </w:r>
    </w:p>
    <w:p>
      <w:pPr>
        <w:pStyle w:val="ListBullet"/>
      </w:pPr>
      <w:r>
        <w:t>Tesseract queda disponible como experimento de respaldo: si en Fase 4 el F1 del NER en Pólizas/CC queda bajo umbral, se puede reconsiderar un selector híbrido.</w:t>
      </w:r>
    </w:p>
    <w:p>
      <w:pPr>
        <w:pStyle w:val="Heading2"/>
      </w:pPr>
      <w:r>
        <w:t>5.4 Validación posterior en producción</w:t>
      </w:r>
    </w:p>
    <w:p>
      <w:r>
        <w:rPr>
          <w:sz w:val="22"/>
        </w:rPr>
        <w:t>Para verificar que la decisión del benchmark se sostiene a escala productiva, se ejecutó EasyOCR sobre el corpus completo de 1,678 páginas escaneadas (Notebook 05, corrida overnight de 23 horas). Las métricas se midieron nuevamente contra el mismo Gold Standard.</w:t>
      </w:r>
    </w:p>
    <w:tbl>
      <w:tblPr>
        <w:tblStyle w:val="LightGrid-Accent1"/>
        <w:tblW w:type="auto" w:w="0"/>
        <w:tblLayout w:type="fixed"/>
        <w:tblLook w:firstColumn="1" w:firstRow="1" w:lastColumn="0" w:lastRow="0" w:noHBand="0" w:noVBand="1" w:val="04A0"/>
      </w:tblPr>
      <w:tblGrid>
        <w:gridCol w:w="2351"/>
        <w:gridCol w:w="2351"/>
        <w:gridCol w:w="2351"/>
        <w:gridCol w:w="2351"/>
      </w:tblGrid>
      <w:tr>
        <w:tc>
          <w:tcPr>
            <w:tcW w:type="dxa" w:w="1701"/>
            <w:shd w:fill="2E5C8A"/>
          </w:tcPr>
          <w:p>
            <w:r/>
            <w:r>
              <w:rPr>
                <w:b/>
                <w:color w:val="FFFFFF"/>
                <w:sz w:val="20"/>
              </w:rPr>
              <w:t>Métrica</w:t>
            </w:r>
          </w:p>
        </w:tc>
        <w:tc>
          <w:tcPr>
            <w:tcW w:type="dxa" w:w="2551"/>
            <w:shd w:fill="2E5C8A"/>
          </w:tcPr>
          <w:p>
            <w:r/>
            <w:r>
              <w:rPr>
                <w:b/>
                <w:color w:val="FFFFFF"/>
                <w:sz w:val="20"/>
              </w:rPr>
              <w:t>Benchmark aislado (nb03)</w:t>
            </w:r>
          </w:p>
        </w:tc>
        <w:tc>
          <w:tcPr>
            <w:tcW w:type="dxa" w:w="2268"/>
            <w:shd w:fill="2E5C8A"/>
          </w:tcPr>
          <w:p>
            <w:r/>
            <w:r>
              <w:rPr>
                <w:b/>
                <w:color w:val="FFFFFF"/>
                <w:sz w:val="20"/>
              </w:rPr>
              <w:t>Producción (nb05)</w:t>
            </w:r>
          </w:p>
        </w:tc>
        <w:tc>
          <w:tcPr>
            <w:tcW w:type="dxa" w:w="2835"/>
            <w:shd w:fill="2E5C8A"/>
          </w:tcPr>
          <w:p>
            <w:r/>
            <w:r>
              <w:rPr>
                <w:b/>
                <w:color w:val="FFFFFF"/>
                <w:sz w:val="20"/>
              </w:rPr>
              <w:t>Variación</w:t>
            </w:r>
          </w:p>
        </w:tc>
      </w:tr>
      <w:tr>
        <w:tc>
          <w:tcPr>
            <w:tcW w:type="dxa" w:w="1701"/>
          </w:tcPr>
          <w:p>
            <w:r/>
            <w:r>
              <w:rPr>
                <w:sz w:val="20"/>
              </w:rPr>
              <w:t>CER global</w:t>
            </w:r>
          </w:p>
        </w:tc>
        <w:tc>
          <w:tcPr>
            <w:tcW w:type="dxa" w:w="2551"/>
          </w:tcPr>
          <w:p>
            <w:r/>
            <w:r>
              <w:rPr>
                <w:sz w:val="20"/>
              </w:rPr>
              <w:t>0.276</w:t>
            </w:r>
          </w:p>
        </w:tc>
        <w:tc>
          <w:tcPr>
            <w:tcW w:type="dxa" w:w="2268"/>
          </w:tcPr>
          <w:p>
            <w:r/>
            <w:r>
              <w:rPr>
                <w:sz w:val="20"/>
              </w:rPr>
              <w:t>0.282</w:t>
            </w:r>
          </w:p>
        </w:tc>
        <w:tc>
          <w:tcPr>
            <w:tcW w:type="dxa" w:w="2835"/>
          </w:tcPr>
          <w:p>
            <w:r/>
            <w:r>
              <w:rPr>
                <w:sz w:val="20"/>
              </w:rPr>
              <w:t>+2.2% (despreciable)</w:t>
            </w:r>
          </w:p>
        </w:tc>
      </w:tr>
      <w:tr>
        <w:tc>
          <w:tcPr>
            <w:tcW w:type="dxa" w:w="1701"/>
          </w:tcPr>
          <w:p>
            <w:r/>
            <w:r>
              <w:rPr>
                <w:sz w:val="20"/>
              </w:rPr>
              <w:t>Entity Recall</w:t>
            </w:r>
          </w:p>
        </w:tc>
        <w:tc>
          <w:tcPr>
            <w:tcW w:type="dxa" w:w="2551"/>
          </w:tcPr>
          <w:p>
            <w:r/>
            <w:r>
              <w:rPr>
                <w:sz w:val="20"/>
              </w:rPr>
              <w:t>0.551</w:t>
            </w:r>
          </w:p>
        </w:tc>
        <w:tc>
          <w:tcPr>
            <w:tcW w:type="dxa" w:w="2268"/>
          </w:tcPr>
          <w:p>
            <w:r/>
            <w:r>
              <w:rPr>
                <w:sz w:val="20"/>
              </w:rPr>
              <w:t>0.640</w:t>
            </w:r>
          </w:p>
        </w:tc>
        <w:tc>
          <w:tcPr>
            <w:tcW w:type="dxa" w:w="2835"/>
          </w:tcPr>
          <w:p>
            <w:r/>
            <w:r>
              <w:rPr>
                <w:sz w:val="20"/>
              </w:rPr>
              <w:t>+16% (mejora sustancial)</w:t>
            </w:r>
          </w:p>
        </w:tc>
      </w:tr>
    </w:tbl>
    <w:p>
      <w:r>
        <w:rPr>
          <w:sz w:val="22"/>
        </w:rPr>
        <w:t>El benchmark predijo correctamente el comportamiento productivo. La mejora de +16% en entity_recall se atribuye a la eliminación del paso binarize() del pipeline productivo — decisión técnica tomada durante la ejecución y documentada en OCR_BENCHMARK.md §2.6.0.</w:t>
      </w:r>
    </w:p>
    <w:p>
      <w:pPr>
        <w:pStyle w:val="Heading2"/>
      </w:pPr>
      <w:r>
        <w:t>5.5 Metadatos de trazabilidad</w:t>
      </w:r>
    </w:p>
    <w:tbl>
      <w:tblPr>
        <w:tblStyle w:val="LightGrid-Accent1"/>
        <w:tblW w:type="auto" w:w="0"/>
        <w:tblLayout w:type="fixed"/>
        <w:tblLook w:firstColumn="1" w:firstRow="1" w:lastColumn="0" w:lastRow="0" w:noHBand="0" w:noVBand="1" w:val="04A0"/>
      </w:tblPr>
      <w:tblGrid>
        <w:gridCol w:w="4703"/>
        <w:gridCol w:w="4703"/>
      </w:tblGrid>
      <w:tr>
        <w:tc>
          <w:tcPr>
            <w:tcW w:type="dxa" w:w="3402"/>
            <w:shd w:fill="2E5C8A"/>
          </w:tcPr>
          <w:p>
            <w:r/>
            <w:r>
              <w:rPr>
                <w:b/>
                <w:color w:val="FFFFFF"/>
                <w:sz w:val="20"/>
              </w:rPr>
              <w:t>Campo</w:t>
            </w:r>
          </w:p>
        </w:tc>
        <w:tc>
          <w:tcPr>
            <w:tcW w:type="dxa" w:w="6236"/>
            <w:shd w:fill="2E5C8A"/>
          </w:tcPr>
          <w:p>
            <w:r/>
            <w:r>
              <w:rPr>
                <w:b/>
                <w:color w:val="FFFFFF"/>
                <w:sz w:val="20"/>
              </w:rPr>
              <w:t>Valor</w:t>
            </w:r>
          </w:p>
        </w:tc>
      </w:tr>
      <w:tr>
        <w:tc>
          <w:tcPr>
            <w:tcW w:type="dxa" w:w="3402"/>
          </w:tcPr>
          <w:p>
            <w:r/>
            <w:r>
              <w:rPr>
                <w:sz w:val="20"/>
              </w:rPr>
              <w:t>Fecha de la decisión</w:t>
            </w:r>
          </w:p>
        </w:tc>
        <w:tc>
          <w:tcPr>
            <w:tcW w:type="dxa" w:w="6236"/>
          </w:tcPr>
          <w:p>
            <w:r/>
            <w:r>
              <w:rPr>
                <w:sz w:val="20"/>
              </w:rPr>
              <w:t>2026-04-15</w:t>
            </w:r>
          </w:p>
        </w:tc>
      </w:tr>
      <w:tr>
        <w:tc>
          <w:tcPr>
            <w:tcW w:type="dxa" w:w="3402"/>
          </w:tcPr>
          <w:p>
            <w:r/>
            <w:r>
              <w:rPr>
                <w:sz w:val="20"/>
              </w:rPr>
              <w:t>Gold seed</w:t>
            </w:r>
          </w:p>
        </w:tc>
        <w:tc>
          <w:tcPr>
            <w:tcW w:type="dxa" w:w="6236"/>
          </w:tcPr>
          <w:p>
            <w:r/>
            <w:r>
              <w:rPr>
                <w:sz w:val="20"/>
              </w:rPr>
              <w:t>15 documentos en data/gold/gold_seed_manifest.csv</w:t>
            </w:r>
          </w:p>
        </w:tc>
      </w:tr>
      <w:tr>
        <w:tc>
          <w:tcPr>
            <w:tcW w:type="dxa" w:w="3402"/>
          </w:tcPr>
          <w:p>
            <w:r/>
            <w:r>
              <w:rPr>
                <w:sz w:val="20"/>
              </w:rPr>
              <w:t>Semilla aleatoria</w:t>
            </w:r>
          </w:p>
        </w:tc>
        <w:tc>
          <w:tcPr>
            <w:tcW w:type="dxa" w:w="6236"/>
          </w:tcPr>
          <w:p>
            <w:r/>
            <w:r>
              <w:rPr>
                <w:sz w:val="20"/>
              </w:rPr>
              <w:t>random_state=42 (reproducible)</w:t>
            </w:r>
          </w:p>
        </w:tc>
      </w:tr>
      <w:tr>
        <w:tc>
          <w:tcPr>
            <w:tcW w:type="dxa" w:w="3402"/>
          </w:tcPr>
          <w:p>
            <w:r/>
            <w:r>
              <w:rPr>
                <w:sz w:val="20"/>
              </w:rPr>
              <w:t>Cap de páginas</w:t>
            </w:r>
          </w:p>
        </w:tc>
        <w:tc>
          <w:tcPr>
            <w:tcW w:type="dxa" w:w="6236"/>
          </w:tcPr>
          <w:p>
            <w:r/>
            <w:r>
              <w:rPr>
                <w:sz w:val="20"/>
              </w:rPr>
              <w:t>4 páginas por documento</w:t>
            </w:r>
          </w:p>
        </w:tc>
      </w:tr>
      <w:tr>
        <w:tc>
          <w:tcPr>
            <w:tcW w:type="dxa" w:w="3402"/>
          </w:tcPr>
          <w:p>
            <w:r/>
            <w:r>
              <w:rPr>
                <w:sz w:val="20"/>
              </w:rPr>
              <w:t>Transcripciones congeladas</w:t>
            </w:r>
          </w:p>
        </w:tc>
        <w:tc>
          <w:tcPr>
            <w:tcW w:type="dxa" w:w="6236"/>
          </w:tcPr>
          <w:p>
            <w:r/>
            <w:r>
              <w:rPr>
                <w:sz w:val="20"/>
              </w:rPr>
              <w:t>data/gold/transcriptions/ — inmutables desde la fecha</w:t>
            </w:r>
          </w:p>
        </w:tc>
      </w:tr>
      <w:tr>
        <w:tc>
          <w:tcPr>
            <w:tcW w:type="dxa" w:w="3402"/>
          </w:tcPr>
          <w:p>
            <w:r/>
            <w:r>
              <w:rPr>
                <w:sz w:val="20"/>
              </w:rPr>
              <w:t>EasyOCR</w:t>
            </w:r>
          </w:p>
        </w:tc>
        <w:tc>
          <w:tcPr>
            <w:tcW w:type="dxa" w:w="6236"/>
          </w:tcPr>
          <w:p>
            <w:r/>
            <w:r>
              <w:rPr>
                <w:sz w:val="20"/>
              </w:rPr>
              <w:t>1.7.2 (modelos español, modo CPU)</w:t>
            </w:r>
          </w:p>
        </w:tc>
      </w:tr>
      <w:tr>
        <w:tc>
          <w:tcPr>
            <w:tcW w:type="dxa" w:w="3402"/>
          </w:tcPr>
          <w:p>
            <w:r/>
            <w:r>
              <w:rPr>
                <w:sz w:val="20"/>
              </w:rPr>
              <w:t>Tesseract</w:t>
            </w:r>
          </w:p>
        </w:tc>
        <w:tc>
          <w:tcPr>
            <w:tcW w:type="dxa" w:w="6236"/>
          </w:tcPr>
          <w:p>
            <w:r/>
            <w:r>
              <w:rPr>
                <w:sz w:val="20"/>
              </w:rPr>
              <w:t>5.5.0 (spa.traineddata en tessdata/ local)</w:t>
            </w:r>
          </w:p>
        </w:tc>
      </w:tr>
      <w:tr>
        <w:tc>
          <w:tcPr>
            <w:tcW w:type="dxa" w:w="3402"/>
          </w:tcPr>
          <w:p>
            <w:r/>
            <w:r>
              <w:rPr>
                <w:sz w:val="20"/>
              </w:rPr>
              <w:t>Entorno</w:t>
            </w:r>
          </w:p>
        </w:tc>
        <w:tc>
          <w:tcPr>
            <w:tcW w:type="dxa" w:w="6236"/>
          </w:tcPr>
          <w:p>
            <w:r/>
            <w:r>
              <w:rPr>
                <w:sz w:val="20"/>
              </w:rPr>
              <w:t>Python 3.12.10, Windows 11, sin GPU</w:t>
            </w:r>
          </w:p>
        </w:tc>
      </w:tr>
    </w:tbl>
    <w:p>
      <w:r>
        <w:br w:type="page"/>
      </w:r>
    </w:p>
    <w:p>
      <w:pPr>
        <w:pStyle w:val="Heading1"/>
      </w:pPr>
      <w:r>
        <w:t>6. Visualización oficial del benchmark</w:t>
      </w:r>
    </w:p>
    <w:p>
      <w:r>
        <w:rPr>
          <w:sz w:val="22"/>
        </w:rPr>
        <w:t>Figura oficial generada por el Notebook 03 al finalizar el benchmark. Izquierda: barras de CER medio por motor y tipología. Derecha: scatter con los 30 puntos de datos individuales (15 documentos × 2 motores) en el plano CER vs segundos/página.</w:t>
      </w:r>
    </w:p>
    <w:p>
      <w:pPr>
        <w:jc w:val="center"/>
      </w:pPr>
      <w:r>
        <w:drawing>
          <wp:inline xmlns:a="http://schemas.openxmlformats.org/drawingml/2006/main" xmlns:pic="http://schemas.openxmlformats.org/drawingml/2006/picture">
            <wp:extent cx="6120000" cy="2148784"/>
            <wp:docPr id="6" name="Picture 6"/>
            <wp:cNvGraphicFramePr>
              <a:graphicFrameLocks noChangeAspect="1"/>
            </wp:cNvGraphicFramePr>
            <a:graphic>
              <a:graphicData uri="http://schemas.openxmlformats.org/drawingml/2006/picture">
                <pic:pic>
                  <pic:nvPicPr>
                    <pic:cNvPr id="0" name="fig11_ocr_benchmark.png"/>
                    <pic:cNvPicPr/>
                  </pic:nvPicPr>
                  <pic:blipFill>
                    <a:blip r:embed="rId14"/>
                    <a:stretch>
                      <a:fillRect/>
                    </a:stretch>
                  </pic:blipFill>
                  <pic:spPr>
                    <a:xfrm>
                      <a:off x="0" y="0"/>
                      <a:ext cx="6120000" cy="2148784"/>
                    </a:xfrm>
                    <a:prstGeom prst="rect"/>
                  </pic:spPr>
                </pic:pic>
              </a:graphicData>
            </a:graphic>
          </wp:inline>
        </w:drawing>
      </w:r>
    </w:p>
    <w:p>
      <w:pPr>
        <w:jc w:val="center"/>
      </w:pPr>
      <w:r>
        <w:rPr>
          <w:i/>
          <w:color w:val="555555"/>
          <w:sz w:val="18"/>
        </w:rPr>
        <w:t>Figura 6. Benchmark OCR oficial (fig11_ocr_benchmark.png). Este gráfico fue generado automáticamente por el notebook de benchmark sobre los datos reales.</w:t>
      </w:r>
    </w:p>
    <w:p>
      <w:r>
        <w:br w:type="page"/>
      </w:r>
    </w:p>
    <w:p>
      <w:pPr>
        <w:pStyle w:val="Heading1"/>
      </w:pPr>
      <w:r>
        <w:t>7. Referencias bibliográficas</w:t>
      </w:r>
    </w:p>
    <w:p>
      <w:r>
        <w:rPr>
          <w:sz w:val="22"/>
        </w:rPr>
        <w:t>Todas las referencias son verificables en línea mediante DOI, arXiv ID o URL institucional oficial.</w:t>
      </w:r>
    </w:p>
    <w:p>
      <w:pPr>
        <w:pStyle w:val="Heading2"/>
      </w:pPr>
      <w:r>
        <w:t>7.1 Gold Standards y metodología de evaluación</w:t>
      </w:r>
    </w:p>
    <w:p>
      <w:pPr>
        <w:ind w:left="283"/>
      </w:pPr>
      <w:r>
        <w:t>[1] Manning, C. D., Raghavan, P., Schütze, H. (2008). Introduction to Information Retrieval. Cambridge University Press — Capítulo 8. https://nlp.stanford.edu/IR-book/</w:t>
      </w:r>
    </w:p>
    <w:p>
      <w:pPr>
        <w:ind w:left="283"/>
      </w:pPr>
      <w:r>
        <w:t>[2] Wang, W. et al. (2025). A Survey on Document Intelligence Foundations and Frontiers. arXiv:2510.13366. https://arxiv.org/abs/2510.13366</w:t>
      </w:r>
    </w:p>
    <w:p>
      <w:pPr>
        <w:ind w:left="283"/>
      </w:pPr>
      <w:r>
        <w:t>[3] Wirth, R. &amp; Hipp, J. (2000). CRISP-DM: Towards a Standard Process Model for Data Mining. 4th Intl. Conf. Practical Applications of Knowledge Discovery and Data Mining. https://www.cs.unibo.it/~montesi/CBD/Beatriz/10.1.1.198.5133.pdf</w:t>
      </w:r>
    </w:p>
    <w:p>
      <w:pPr>
        <w:ind w:left="283"/>
      </w:pPr>
      <w:r>
        <w:t>[4] Tjong Kim Sang, E. F. (2002). Introduction to the CoNLL-2002 Shared Task: Language-Independent Named Entity Recognition. CoNLL 2002. https://aclanthology.org/W02-2024/</w:t>
      </w:r>
    </w:p>
    <w:p>
      <w:pPr>
        <w:pStyle w:val="Heading2"/>
      </w:pPr>
      <w:r>
        <w:t>7.2 Motores OCR evaluados</w:t>
      </w:r>
    </w:p>
    <w:p>
      <w:pPr>
        <w:ind w:left="283"/>
      </w:pPr>
      <w:r>
        <w:t>[5] EasyOCR — Repositorio oficial JaidedAI. https://github.com/JaidedAI/EasyOCR</w:t>
      </w:r>
    </w:p>
    <w:p>
      <w:pPr>
        <w:ind w:left="283"/>
      </w:pPr>
      <w:r>
        <w:t>[6] Baek, Y., Lee, B., Han, D., Yun, S., Lee, H. (2019). Character Region Awareness for Text Detection (CRAFT). CVPR 2019. https://arxiv.org/abs/1904.01941</w:t>
      </w:r>
    </w:p>
    <w:p>
      <w:pPr>
        <w:ind w:left="283"/>
      </w:pPr>
      <w:r>
        <w:t>[7] Shi, B., Bai, X., Yao, C. (2017). An End-to-End Trainable Neural Network for Image-based Sequence Recognition (CRNN). IEEE TPAMI 39(11). https://arxiv.org/abs/1507.05717</w:t>
      </w:r>
    </w:p>
    <w:p>
      <w:pPr>
        <w:ind w:left="283"/>
      </w:pPr>
      <w:r>
        <w:t>[8] Tesseract OCR — Repositorio oficial. https://github.com/tesseract-ocr/tesseract</w:t>
      </w:r>
    </w:p>
    <w:p>
      <w:pPr>
        <w:ind w:left="283"/>
      </w:pPr>
      <w:r>
        <w:t>[9] Smith, R. (2007). An Overview of the Tesseract OCR Engine. ICDAR 2007. https://research.google/pubs/an-overview-of-the-tesseract-ocr-engine/</w:t>
      </w:r>
    </w:p>
    <w:p>
      <w:pPr>
        <w:ind w:left="283"/>
      </w:pPr>
      <w:r>
        <w:t>[10] Kim, G. et al. (2022). OCR-free Document Understanding Transformer (Donut). ECCV 2022. https://arxiv.org/abs/2111.15664</w:t>
      </w:r>
    </w:p>
    <w:p>
      <w:pPr>
        <w:ind w:left="283"/>
      </w:pPr>
      <w:r>
        <w:t>[11] PyMuPDF — Documentación oficial Artifex. https://pymupdf.readthedocs.io/ — Repositorio: https://github.com/pymupdf/PyMuPDF</w:t>
      </w:r>
    </w:p>
    <w:p>
      <w:pPr>
        <w:pStyle w:val="Heading2"/>
      </w:pPr>
      <w:r>
        <w:t>7.3 Métricas de evaluación</w:t>
      </w:r>
    </w:p>
    <w:p>
      <w:pPr>
        <w:ind w:left="283"/>
      </w:pPr>
      <w:r>
        <w:t>[12] Morris, A. C., Maier, V., Green, P. (2004). From WER and RIL to MER and WIL: improved evaluation measures for connected speech recognition. Interspeech 2004. https://www.isca-speech.org/archive/interspeech_2004/morris04_interspeech.html</w:t>
      </w:r>
    </w:p>
    <w:p>
      <w:pPr>
        <w:ind w:left="283"/>
      </w:pPr>
      <w:r>
        <w:t>[13] jiwer — Librería Python para cálculo de CER/WER. https://github.com/jitsi/jiwer</w:t>
      </w:r>
    </w:p>
    <w:p>
      <w:pPr>
        <w:ind w:left="283"/>
      </w:pPr>
      <w:r>
        <w:t>[14] DIAN. Resolución 000110 del 11-10-2021 (estructura del RUT, fundamenta regex de NIT). https://www.dian.gov.co/normatividad/Normatividad/Resoluci%C3%B3n%20000110%20de%2011-10-2021.pdf</w:t>
      </w:r>
    </w:p>
    <w:p>
      <w:pPr>
        <w:pStyle w:val="Heading2"/>
      </w:pPr>
      <w:r>
        <w:t>7.4 Referencias contextuales del proyecto</w:t>
      </w:r>
    </w:p>
    <w:p>
      <w:pPr>
        <w:ind w:left="283"/>
      </w:pPr>
      <w:r>
        <w:t>[15] Ratner, A. et al. (2018). Snorkel: Rapid Training Data Creation with Weak Supervision. VLDB 2018. https://arxiv.org/abs/1711.10160</w:t>
      </w:r>
    </w:p>
    <w:p>
      <w:pPr>
        <w:ind w:left="283"/>
      </w:pPr>
      <w:r>
        <w:t>[16] Colakoglu, G. et al. (2025). A Retrospective on Information Extraction from Documents: From Layout-aware Models to Large Language Models. arXiv:2502.18179. https://arxiv.org/abs/2502.18179</w:t>
      </w:r>
    </w:p>
    <w:p>
      <w:r>
        <w:br w:type="page"/>
      </w:r>
    </w:p>
    <w:p>
      <w:pPr>
        <w:pStyle w:val="Heading1"/>
      </w:pPr>
      <w:r>
        <w:t>Apéndice A — Output real del notebook (tabla completa de resultados)</w:t>
      </w:r>
    </w:p>
    <w:p>
      <w:r>
        <w:rPr>
          <w:sz w:val="22"/>
        </w:rPr>
        <w:t>Extracto directo del output del Notebook 03 (celda 27):</w:t>
      </w:r>
    </w:p>
    <w:p>
      <w:pPr>
        <w:ind w:left="283"/>
        <w:shd w:fill="F5F5F5"/>
      </w:pPr>
      <w:r>
        <w:rPr>
          <w:rFonts w:ascii="Consolas" w:hAnsi="Consolas"/>
          <w:sz w:val="18"/>
        </w:rPr>
        <w:t xml:space="preserve">   engine  folder         n  cer_mean  wer_mean  entity_recall_mean  s_per_page_mean</w:t>
        <w:br/>
        <w:t xml:space="preserve">  easyocr  CAMARA DE CIO  3    0.0960    0.2229              0.3259          51.5373</w:t>
        <w:br/>
        <w:t xml:space="preserve">  easyocr  CEDULA         6    0.3333    0.5737              0.4444          42.0840</w:t>
        <w:br/>
        <w:t xml:space="preserve">  easyocr  POLIZA         3    0.3286    0.4973              0.6493          48.1290</w:t>
        <w:br/>
        <w:t xml:space="preserve">  easyocr  rut            3    0.2891    0.5134              0.8889          46.2573</w:t>
        <w:br/>
        <w:t>tesseract  CAMARA DE CIO  3    0.0469    0.0316              0.9630           5.2543</w:t>
        <w:br/>
        <w:t>tesseract  CEDULA         6    0.7818    0.8843              0.1111           5.4147</w:t>
        <w:br/>
        <w:t>tesseract  POLIZA         3    0.2256    0.3466              0.9510           4.8143</w:t>
        <w:br/>
        <w:t>tesseract  rut            3    0.3941    0.6402              0.8889           4.4030</w:t>
      </w:r>
    </w:p>
    <w:p>
      <w:r>
        <w:rPr>
          <w:b/>
          <w:sz w:val="22"/>
        </w:rPr>
        <w:t xml:space="preserve">Archivos de datos: </w:t>
      </w:r>
      <w:r>
        <w:rPr>
          <w:rFonts w:ascii="Consolas" w:hAnsi="Consolas"/>
          <w:sz w:val="20"/>
        </w:rPr>
        <w:t>data/processed/ocr_benchmark.csv</w:t>
      </w:r>
      <w:r>
        <w:rPr>
          <w:sz w:val="22"/>
        </w:rPr>
        <w:t xml:space="preserve"> (30 filas individuales, commiteable) · </w:t>
      </w:r>
      <w:r>
        <w:rPr>
          <w:rFonts w:ascii="Consolas" w:hAnsi="Consolas"/>
          <w:sz w:val="20"/>
        </w:rPr>
        <w:t>data/processed/ocr_benchmark_summary.csv</w:t>
      </w:r>
      <w:r>
        <w:rPr>
          <w:sz w:val="22"/>
        </w:rPr>
        <w:t xml:space="preserve"> (8 filas agregadas, commiteable) · </w:t>
      </w:r>
      <w:r>
        <w:rPr>
          <w:rFonts w:ascii="Consolas" w:hAnsi="Consolas"/>
          <w:sz w:val="20"/>
        </w:rPr>
        <w:t>data/processed/fig11_ocr_benchmark.png</w:t>
      </w:r>
      <w:r>
        <w:rPr>
          <w:sz w:val="22"/>
        </w:rPr>
        <w:t xml:space="preserve"> (Figura 6).</w:t>
      </w:r>
    </w:p>
    <w:p>
      <w:pPr>
        <w:pStyle w:val="Heading2"/>
      </w:pPr>
      <w:r>
        <w:t>Documentos internos del proyecto</w:t>
      </w:r>
    </w:p>
    <w:tbl>
      <w:tblPr>
        <w:tblStyle w:val="LightGrid-Accent1"/>
        <w:tblW w:type="auto" w:w="0"/>
        <w:tblLayout w:type="fixed"/>
        <w:tblLook w:firstColumn="1" w:firstRow="1" w:lastColumn="0" w:lastRow="0" w:noHBand="0" w:noVBand="1" w:val="04A0"/>
      </w:tblPr>
      <w:tblGrid>
        <w:gridCol w:w="4703"/>
        <w:gridCol w:w="4703"/>
      </w:tblGrid>
      <w:tr>
        <w:tc>
          <w:tcPr>
            <w:tcW w:type="dxa" w:w="3969"/>
            <w:shd w:fill="2E5C8A"/>
          </w:tcPr>
          <w:p>
            <w:r/>
            <w:r>
              <w:rPr>
                <w:b/>
                <w:color w:val="FFFFFF"/>
                <w:sz w:val="20"/>
              </w:rPr>
              <w:t>Documento</w:t>
            </w:r>
          </w:p>
        </w:tc>
        <w:tc>
          <w:tcPr>
            <w:tcW w:type="dxa" w:w="5669"/>
            <w:shd w:fill="2E5C8A"/>
          </w:tcPr>
          <w:p>
            <w:r/>
            <w:r>
              <w:rPr>
                <w:b/>
                <w:color w:val="FFFFFF"/>
                <w:sz w:val="20"/>
              </w:rPr>
              <w:t>Ubicación</w:t>
            </w:r>
          </w:p>
        </w:tc>
      </w:tr>
      <w:tr>
        <w:tc>
          <w:tcPr>
            <w:tcW w:type="dxa" w:w="3969"/>
          </w:tcPr>
          <w:p>
            <w:r/>
            <w:r>
              <w:rPr>
                <w:sz w:val="20"/>
              </w:rPr>
              <w:t>Plan maestro CRISP-DM++</w:t>
            </w:r>
          </w:p>
        </w:tc>
        <w:tc>
          <w:tcPr>
            <w:tcW w:type="dxa" w:w="5669"/>
          </w:tcPr>
          <w:p>
            <w:r/>
            <w:r>
              <w:rPr>
                <w:sz w:val="20"/>
              </w:rPr>
              <w:t>PLAN_MODELADO_CRISPDM.md</w:t>
            </w:r>
          </w:p>
        </w:tc>
      </w:tr>
      <w:tr>
        <w:tc>
          <w:tcPr>
            <w:tcW w:type="dxa" w:w="3969"/>
          </w:tcPr>
          <w:p>
            <w:r/>
            <w:r>
              <w:rPr>
                <w:sz w:val="20"/>
              </w:rPr>
              <w:t>Bitácora completa del benchmark OCR</w:t>
            </w:r>
          </w:p>
        </w:tc>
        <w:tc>
          <w:tcPr>
            <w:tcW w:type="dxa" w:w="5669"/>
          </w:tcPr>
          <w:p>
            <w:r/>
            <w:r>
              <w:rPr>
                <w:sz w:val="20"/>
              </w:rPr>
              <w:t>OCR_BENCHMARK.md</w:t>
            </w:r>
          </w:p>
        </w:tc>
      </w:tr>
      <w:tr>
        <w:tc>
          <w:tcPr>
            <w:tcW w:type="dxa" w:w="3969"/>
          </w:tcPr>
          <w:p>
            <w:r/>
            <w:r>
              <w:rPr>
                <w:sz w:val="20"/>
              </w:rPr>
              <w:t>Propuesta de modelos (Fase 3)</w:t>
            </w:r>
          </w:p>
        </w:tc>
        <w:tc>
          <w:tcPr>
            <w:tcW w:type="dxa" w:w="5669"/>
          </w:tcPr>
          <w:p>
            <w:r/>
            <w:r>
              <w:rPr>
                <w:sz w:val="20"/>
              </w:rPr>
              <w:t>PROPUESTA_MODELOS.md</w:t>
            </w:r>
          </w:p>
        </w:tc>
      </w:tr>
      <w:tr>
        <w:tc>
          <w:tcPr>
            <w:tcW w:type="dxa" w:w="3969"/>
          </w:tcPr>
          <w:p>
            <w:r/>
            <w:r>
              <w:rPr>
                <w:sz w:val="20"/>
              </w:rPr>
              <w:t>Reporte narrativo del benchmark</w:t>
            </w:r>
          </w:p>
        </w:tc>
        <w:tc>
          <w:tcPr>
            <w:tcW w:type="dxa" w:w="5669"/>
          </w:tcPr>
          <w:p>
            <w:r/>
            <w:r>
              <w:rPr>
                <w:sz w:val="20"/>
              </w:rPr>
              <w:t>reports/nb03_resultados.md</w:t>
            </w:r>
          </w:p>
        </w:tc>
      </w:tr>
      <w:tr>
        <w:tc>
          <w:tcPr>
            <w:tcW w:type="dxa" w:w="3969"/>
          </w:tcPr>
          <w:p>
            <w:r/>
            <w:r>
              <w:rPr>
                <w:sz w:val="20"/>
              </w:rPr>
              <w:t>Reporte de ejecución productiva</w:t>
            </w:r>
          </w:p>
        </w:tc>
        <w:tc>
          <w:tcPr>
            <w:tcW w:type="dxa" w:w="5669"/>
          </w:tcPr>
          <w:p>
            <w:r/>
            <w:r>
              <w:rPr>
                <w:sz w:val="20"/>
              </w:rPr>
              <w:t>reports/nb05_resultados.md</w:t>
            </w:r>
          </w:p>
        </w:tc>
      </w:tr>
      <w:tr>
        <w:tc>
          <w:tcPr>
            <w:tcW w:type="dxa" w:w="3969"/>
          </w:tcPr>
          <w:p>
            <w:r/>
            <w:r>
              <w:rPr>
                <w:sz w:val="20"/>
              </w:rPr>
              <w:t>Notebook del benchmark</w:t>
            </w:r>
          </w:p>
        </w:tc>
        <w:tc>
          <w:tcPr>
            <w:tcW w:type="dxa" w:w="5669"/>
          </w:tcPr>
          <w:p>
            <w:r/>
            <w:r>
              <w:rPr>
                <w:sz w:val="20"/>
              </w:rPr>
              <w:t>notebooks/03_benchmark_ocr.ipynb</w:t>
            </w:r>
          </w:p>
        </w:tc>
      </w:tr>
      <w:tr>
        <w:tc>
          <w:tcPr>
            <w:tcW w:type="dxa" w:w="3969"/>
          </w:tcPr>
          <w:p>
            <w:r/>
            <w:r>
              <w:rPr>
                <w:sz w:val="20"/>
              </w:rPr>
              <w:t>Gold seed manifest</w:t>
            </w:r>
          </w:p>
        </w:tc>
        <w:tc>
          <w:tcPr>
            <w:tcW w:type="dxa" w:w="5669"/>
          </w:tcPr>
          <w:p>
            <w:r/>
            <w:r>
              <w:rPr>
                <w:sz w:val="20"/>
              </w:rPr>
              <w:t>data/gold/gold_seed_manifest.csv</w:t>
            </w:r>
          </w:p>
        </w:tc>
      </w:tr>
      <w:tr>
        <w:tc>
          <w:tcPr>
            <w:tcW w:type="dxa" w:w="3969"/>
          </w:tcPr>
          <w:p>
            <w:r/>
            <w:r>
              <w:rPr>
                <w:sz w:val="20"/>
              </w:rPr>
              <w:t>Transcripciones humanas</w:t>
            </w:r>
          </w:p>
        </w:tc>
        <w:tc>
          <w:tcPr>
            <w:tcW w:type="dxa" w:w="5669"/>
          </w:tcPr>
          <w:p>
            <w:r/>
            <w:r>
              <w:rPr>
                <w:sz w:val="20"/>
              </w:rPr>
              <w:t>data/gold/transcriptions/*.txt (gitignored por PII)</w:t>
            </w:r>
          </w:p>
        </w:tc>
      </w:tr>
    </w:tbl>
    <w:p/>
    <w:p>
      <w:pPr>
        <w:jc w:val="center"/>
      </w:pPr>
      <w:r>
        <w:rPr>
          <w:i/>
          <w:color w:val="555555"/>
          <w:sz w:val="18"/>
        </w:rPr>
        <w:t>Este documento es parte de los entregables académicos del proyecto SinergIA Lab · PUJ Especialización en IA · Ciclo 1 · 2026. Toda afirmación cuantitativa está respaldada por artefactos verificables en el repositorio del proyecto.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