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D366B"/>
          <w:sz w:val="32"/>
        </w:rPr>
        <w:t>Reporte de trabajo en equipo — Entrega 1</w:t>
      </w:r>
    </w:p>
    <w:p>
      <w:r>
        <w:rPr>
          <w:i w:val="0"/>
          <w:color w:val="52514E"/>
          <w:sz w:val="20"/>
        </w:rPr>
        <w:t>Proyecto: Monitor de Riesgo Académico Saber 11 · Despliegue de Soluciones Analíticas (MIAD) · 25 de octubre de 2026</w:t>
      </w:r>
    </w:p>
    <w:p>
      <w:r>
        <w:rPr>
          <w:i w:val="0"/>
        </w:rPr>
        <w:t>El equipo definió los ítems de trabajo en la Semana 2, los repartió por afinidad y fijó revisiones internas antes de cada entrega. Cada integrante sube su trabajo al repositorio con commits propios, así que el historial de GitHub respalda esta distribución.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0D366B"/>
          </w:tcPr>
          <w:p>
            <w:r/>
            <w:r>
              <w:rPr>
                <w:b/>
                <w:color w:val="FFFFFF"/>
                <w:sz w:val="19"/>
              </w:rPr>
              <w:t>Integrante</w:t>
            </w:r>
          </w:p>
        </w:tc>
        <w:tc>
          <w:tcPr>
            <w:tcW w:type="dxa" w:w="4762"/>
            <w:shd w:val="clear" w:color="auto" w:fill="0D366B"/>
          </w:tcPr>
          <w:p>
            <w:r/>
            <w:r>
              <w:rPr>
                <w:b/>
                <w:color w:val="FFFFFF"/>
                <w:sz w:val="19"/>
              </w:rPr>
              <w:t>Responsabilidades</w:t>
            </w:r>
          </w:p>
        </w:tc>
        <w:tc>
          <w:tcPr>
            <w:tcW w:type="dxa" w:w="3175"/>
            <w:shd w:val="clear" w:color="auto" w:fill="0D366B"/>
          </w:tcPr>
          <w:p>
            <w:r/>
            <w:r>
              <w:rPr>
                <w:b/>
                <w:color w:val="FFFFFF"/>
                <w:sz w:val="19"/>
              </w:rPr>
              <w:t>Evidencia en el repositorio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Mateo Ríos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</w:rPr>
              <w:t>Coordinación del equipo y del cronograma. Configuración del repositorio Git y de DVC con remoto S3. Pipeline de datos (descarga desde la API Socrata, limpieza y variable objetivo). Integración y redacción del reporte.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src/download_data.py, src/clean_data.py, dvc.yaml, dvc.lock, .dvc/config, README.md, docs/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Harol Perafan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</w:rPr>
              <w:t>Exploración de los factores socioeconómicos y del colegio (estrato, educación de los padres, recursos del hogar, naturaleza, zona, jornada). Análisis de la anomalía del estrato. Selección preliminar de variables (η²).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notebooks/01_eda.ipynb (secciones 3, 4 y 6), reports/figures/05–11, 14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Sebastian Vivas</w:t>
            </w:r>
          </w:p>
        </w:tc>
        <w:tc>
          <w:tcPr>
            <w:tcW w:type="dxa" w:w="4762"/>
          </w:tcPr>
          <w:p>
            <w:r/>
            <w:r>
              <w:rPr>
                <w:sz w:val="19"/>
              </w:rPr>
              <w:t>Calidad de datos y distribución del puntaje. Exploración geográfica (departamentos, municipios y colegios prioritarios). Diseño de la maqueta del tablero y su iteración con los hallazgos del EDA.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notebooks/01_eda.ipynb (secciones 1, 2 y 5), reports/figures/01–04, 12–13, mockup/</w:t>
            </w:r>
          </w:p>
        </w:tc>
      </w:tr>
    </w:tbl>
    <w:p>
      <w:pPr>
        <w:spacing w:after="0"/>
      </w:pPr>
    </w:p>
    <w:p>
      <w:r>
        <w:rPr>
          <w:b/>
          <w:i w:val="0"/>
        </w:rPr>
        <w:t xml:space="preserve">Actividades conjuntas: </w:t>
      </w:r>
    </w:p>
    <w:p>
      <w:pPr>
        <w:pStyle w:val="ListBullet"/>
        <w:spacing w:after="40"/>
      </w:pPr>
      <w:r>
        <w:t>Selección del problema y de la pregunta de negocio entre las alternativas exploradas en la Semana 1.</w:t>
      </w:r>
    </w:p>
    <w:p>
      <w:pPr>
        <w:pStyle w:val="ListBullet"/>
        <w:spacing w:after="40"/>
      </w:pPr>
      <w:r>
        <w:t>Discusión de los hallazgos del EDA y de su impacto en el alcance, el modelo y la maqueta.</w:t>
      </w:r>
    </w:p>
    <w:p>
      <w:pPr>
        <w:pStyle w:val="ListBullet"/>
        <w:spacing w:after="40"/>
      </w:pPr>
      <w:r>
        <w:t>Revisión cruzada del reporte final antes de la entrega.</w:t>
      </w:r>
    </w:p>
    <w:p>
      <w:r>
        <w:rPr>
          <w:i w:val="0"/>
        </w:rPr>
      </w:r>
      <w:r>
        <w:rPr>
          <w:highlight w:val="yellow"/>
        </w:rPr>
        <w:t>[Ajustar la distribución si difiere de lo realizado y agregar fechas de las reuniones de seguimiento.]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D366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D366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