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sz w:val="48"/>
        </w:rPr>
        <w:t>Monitor de Riesgo Académico Saber 11</w:t>
      </w:r>
    </w:p>
    <w:p>
      <w:pPr>
        <w:jc w:val="center"/>
      </w:pPr>
      <w:r>
        <w:rPr>
          <w:rFonts w:ascii="Times New Roman" w:hAnsi="Times New Roman" w:eastAsia="Times New Roman"/>
          <w:i/>
          <w:sz w:val="22"/>
        </w:rPr>
        <w:t>Proyecto — Entrega 1 · Despliegue de Soluciones Analíticas · 25 de octubre de 2026</w:t>
      </w:r>
    </w:p>
    <w:tbl>
      <w:tblPr>
        <w:tblW w:type="auto" w:w="0"/>
        <w:jc w:val="center"/>
        <w:tblLook w:firstColumn="1" w:firstRow="1" w:lastColumn="0" w:lastRow="0" w:noHBand="0" w:noVBand="1" w:val="04A0"/>
      </w:tblPr>
      <w:tblGrid>
        <w:gridCol w:w="3480"/>
        <w:gridCol w:w="3480"/>
        <w:gridCol w:w="3480"/>
      </w:tblGrid>
      <w:tr>
        <w:tc>
          <w:tcPr>
            <w:tcW w:type="dxa" w:w="3288"/>
          </w:tcPr>
          <w:p>
            <w:pPr>
              <w:spacing w:before="160"/>
              <w:jc w:val="center"/>
            </w:pPr>
            <w:r>
              <w:rPr>
                <w:rFonts w:ascii="Times New Roman" w:hAnsi="Times New Roman" w:eastAsia="Times New Roman"/>
                <w:sz w:val="22"/>
              </w:rPr>
              <w:t>Mateo Ríos</w:t>
            </w:r>
          </w:p>
          <w:p>
            <w:pPr>
              <w:jc w:val="center"/>
            </w:pPr>
            <w:r>
              <w:rPr>
                <w:rFonts w:ascii="Times New Roman" w:hAnsi="Times New Roman" w:eastAsia="Times New Roman"/>
                <w:i/>
                <w:sz w:val="18"/>
              </w:rPr>
              <w:t>Maestría en Inteligencia Analítica de Datos</w:t>
            </w:r>
          </w:p>
          <w:p>
            <w:pPr>
              <w:jc w:val="center"/>
            </w:pPr>
            <w:r>
              <w:rPr>
                <w:rFonts w:ascii="Times New Roman" w:hAnsi="Times New Roman" w:eastAsia="Times New Roman"/>
                <w:i w:val="0"/>
                <w:sz w:val="18"/>
              </w:rPr>
              <w:t>Universidad de los Andes</w:t>
            </w:r>
          </w:p>
          <w:p>
            <w:pPr>
              <w:jc w:val="center"/>
            </w:pPr>
            <w:r>
              <w:rPr>
                <w:rFonts w:ascii="Times New Roman" w:hAnsi="Times New Roman" w:eastAsia="Times New Roman"/>
                <w:i w:val="0"/>
                <w:sz w:val="18"/>
              </w:rPr>
              <w:t>Bogotá, Colombia</w:t>
            </w:r>
          </w:p>
        </w:tc>
        <w:tc>
          <w:tcPr>
            <w:tcW w:type="dxa" w:w="3288"/>
          </w:tcPr>
          <w:p>
            <w:pPr>
              <w:spacing w:before="160"/>
              <w:jc w:val="center"/>
            </w:pPr>
            <w:r>
              <w:rPr>
                <w:rFonts w:ascii="Times New Roman" w:hAnsi="Times New Roman" w:eastAsia="Times New Roman"/>
                <w:sz w:val="22"/>
              </w:rPr>
              <w:t>Harol Perafan</w:t>
            </w:r>
          </w:p>
          <w:p>
            <w:pPr>
              <w:jc w:val="center"/>
            </w:pPr>
            <w:r>
              <w:rPr>
                <w:rFonts w:ascii="Times New Roman" w:hAnsi="Times New Roman" w:eastAsia="Times New Roman"/>
                <w:i/>
                <w:sz w:val="18"/>
              </w:rPr>
              <w:t>Maestría en Inteligencia Analítica de Datos</w:t>
            </w:r>
          </w:p>
          <w:p>
            <w:pPr>
              <w:jc w:val="center"/>
            </w:pPr>
            <w:r>
              <w:rPr>
                <w:rFonts w:ascii="Times New Roman" w:hAnsi="Times New Roman" w:eastAsia="Times New Roman"/>
                <w:i w:val="0"/>
                <w:sz w:val="18"/>
              </w:rPr>
              <w:t>Universidad de los Andes</w:t>
            </w:r>
          </w:p>
          <w:p>
            <w:pPr>
              <w:jc w:val="center"/>
            </w:pPr>
            <w:r>
              <w:rPr>
                <w:rFonts w:ascii="Times New Roman" w:hAnsi="Times New Roman" w:eastAsia="Times New Roman"/>
                <w:i w:val="0"/>
                <w:sz w:val="18"/>
              </w:rPr>
              <w:t>Bogotá, Colombia</w:t>
            </w:r>
          </w:p>
        </w:tc>
        <w:tc>
          <w:tcPr>
            <w:tcW w:type="dxa" w:w="3288"/>
          </w:tcPr>
          <w:p>
            <w:pPr>
              <w:spacing w:before="160"/>
              <w:jc w:val="center"/>
            </w:pPr>
            <w:r>
              <w:rPr>
                <w:rFonts w:ascii="Times New Roman" w:hAnsi="Times New Roman" w:eastAsia="Times New Roman"/>
                <w:sz w:val="22"/>
              </w:rPr>
              <w:t>Sebastian Vivas</w:t>
            </w:r>
          </w:p>
          <w:p>
            <w:pPr>
              <w:jc w:val="center"/>
            </w:pPr>
            <w:r>
              <w:rPr>
                <w:rFonts w:ascii="Times New Roman" w:hAnsi="Times New Roman" w:eastAsia="Times New Roman"/>
                <w:i/>
                <w:sz w:val="18"/>
              </w:rPr>
              <w:t>Maestría en Inteligencia Analítica de Datos</w:t>
            </w:r>
          </w:p>
          <w:p>
            <w:pPr>
              <w:jc w:val="center"/>
            </w:pPr>
            <w:r>
              <w:rPr>
                <w:rFonts w:ascii="Times New Roman" w:hAnsi="Times New Roman" w:eastAsia="Times New Roman"/>
                <w:i w:val="0"/>
                <w:sz w:val="18"/>
              </w:rPr>
              <w:t>Universidad de los Andes</w:t>
            </w:r>
          </w:p>
          <w:p>
            <w:pPr>
              <w:jc w:val="center"/>
            </w:pPr>
            <w:r>
              <w:rPr>
                <w:rFonts w:ascii="Times New Roman" w:hAnsi="Times New Roman" w:eastAsia="Times New Roman"/>
                <w:i w:val="0"/>
                <w:sz w:val="18"/>
              </w:rPr>
              <w:t>Bogotá, Colombia</w:t>
            </w:r>
          </w:p>
        </w:tc>
      </w:tr>
    </w:tbl>
    <w:p>
      <w:pPr>
        <w:spacing w:after="120"/>
      </w:pPr>
    </w:p>
    <w:p>
      <w:pPr>
        <w:sectPr>
          <w:pgSz w:w="12240" w:h="15840"/>
          <w:pgMar w:top="1080" w:right="900" w:bottom="1440" w:left="900" w:header="720" w:footer="720" w:gutter="0"/>
          <w:cols w:space="720"/>
          <w:docGrid w:linePitch="360"/>
        </w:sectPr>
      </w:pPr>
    </w:p>
    <w:p>
      <w:pPr>
        <w:jc w:val="both"/>
      </w:pPr>
      <w:r>
        <w:rPr>
          <w:rFonts w:ascii="Times New Roman" w:hAnsi="Times New Roman" w:eastAsia="Times New Roman"/>
          <w:b/>
          <w:i/>
          <w:sz w:val="18"/>
        </w:rPr>
        <w:t>Resumen—</w:t>
      </w:r>
      <w:r>
        <w:rPr>
          <w:rFonts w:ascii="Times New Roman" w:hAnsi="Times New Roman" w:eastAsia="Times New Roman"/>
          <w:b/>
          <w:sz w:val="18"/>
        </w:rPr>
        <w:t>Se propone un producto de datos para identificar, antes de presentar el examen, a los estudiantes y colegios con mayor riesgo de obtener un puntaje global bajo en Saber 11. A partir de 532.788 registros públicos del ICFES se construyó un pipeline reproducible versionado con Git y DVC sobre Amazon S3 y se realizó una exploración orientada a la pregunta de negocio. La educación de la madre, la jornada escolar, el acceso a computador e internet, el territorio y la naturaleza del colegio concentran el riesgo; por ejemplo, la tasa de riesgo es 61 % en Chocó frente a 12 % en Bogotá. Con estos hallazgos se iteró la maqueta de un tablero que combina diagnóstico territorial y predicción individual servida por una API.</w:t>
      </w:r>
    </w:p>
    <w:p>
      <w:pPr>
        <w:spacing w:before="80" w:after="40"/>
        <w:jc w:val="both"/>
      </w:pPr>
      <w:r>
        <w:rPr>
          <w:rFonts w:ascii="Times New Roman" w:hAnsi="Times New Roman" w:eastAsia="Times New Roman"/>
          <w:b/>
          <w:i/>
          <w:sz w:val="18"/>
        </w:rPr>
        <w:t>Palabras clave—</w:t>
      </w:r>
      <w:r>
        <w:rPr>
          <w:rFonts w:ascii="Times New Roman" w:hAnsi="Times New Roman" w:eastAsia="Times New Roman"/>
          <w:b/>
          <w:sz w:val="18"/>
        </w:rPr>
        <w:t>Saber 11, riesgo académico, aprendizaje supervisado, DVC, tablero, despliegue.</w:t>
      </w:r>
    </w:p>
    <w:p>
      <w:pPr>
        <w:keepNext/>
        <w:spacing w:before="160" w:after="80"/>
        <w:jc w:val="center"/>
      </w:pPr>
      <w:r>
        <w:rPr>
          <w:rFonts w:ascii="Times New Roman" w:hAnsi="Times New Roman" w:eastAsia="Times New Roman"/>
          <w:smallCaps/>
          <w:sz w:val="20"/>
        </w:rPr>
        <w:t>I. Introducción: problema y contexto</w:t>
      </w:r>
    </w:p>
    <w:p>
      <w:pPr>
        <w:ind w:firstLine="204"/>
        <w:jc w:val="both"/>
      </w:pPr>
      <w:r>
        <w:rPr>
          <w:rFonts w:ascii="Times New Roman" w:hAnsi="Times New Roman" w:eastAsia="Times New Roman"/>
          <w:sz w:val="20"/>
        </w:rPr>
        <w:t>El examen Saber 11 del ICFES evalúa a todos los estudiantes que terminan la educación media en Colombia. Su puntaje global (0–500) condiciona el acceso a la educación superior, a becas y a créditos educativos [1]. Los resultados muestran brechas persistentes asociadas al contexto del estudiante: en el periodo analizado, un estudiante de un colegio en Chocó tiene cinco veces más probabilidad de quedar en el cuartil inferior que uno de Bogotá (61 % vs. 12 %).</w:t>
      </w:r>
    </w:p>
    <w:p>
      <w:pPr>
        <w:ind w:firstLine="204"/>
        <w:jc w:val="both"/>
      </w:pPr>
      <w:r>
        <w:rPr>
          <w:rFonts w:ascii="Times New Roman" w:hAnsi="Times New Roman" w:eastAsia="Times New Roman"/>
          <w:sz w:val="20"/>
        </w:rPr>
        <w:t>Las secretarías de educación y los rectores cuentan con recursos limitados para programas de refuerzo (preparación pre-Saber, tutorías, conectividad). Hoy la focalización se hace con los resultados del año anterior, es decir, cuando el estudiante ya presentó la prueba. El problema es la falta de una herramienta que, con información disponible antes del examen (características del hogar y del colegio), identifique a tiempo a los estudiantes y colegios con mayor riesgo de bajo desempeño.</w:t>
      </w:r>
    </w:p>
    <w:p>
      <w:pPr>
        <w:ind w:firstLine="204"/>
        <w:jc w:val="both"/>
      </w:pPr>
      <w:r>
        <w:rPr>
          <w:rFonts w:ascii="Times New Roman" w:hAnsi="Times New Roman" w:eastAsia="Times New Roman"/>
          <w:sz w:val="20"/>
        </w:rPr>
        <w:t>Un modelo supervisado entrenado con los resultados históricos permite estimar ese riesgo para cada estudiante de grado 11 al inicio del año escolar. Combinado con un tablero descriptivo, convierte los datos abiertos del ICFES en una lista priorizada y explicada de a quién y dónde intervenir.</w:t>
      </w:r>
    </w:p>
    <w:p>
      <w:pPr>
        <w:keepNext/>
        <w:spacing w:before="160" w:after="80"/>
        <w:jc w:val="center"/>
      </w:pPr>
      <w:r>
        <w:rPr>
          <w:rFonts w:ascii="Times New Roman" w:hAnsi="Times New Roman" w:eastAsia="Times New Roman"/>
          <w:smallCaps/>
          <w:sz w:val="20"/>
        </w:rPr>
        <w:t>II. Pregunta de negocio y alcance</w:t>
      </w:r>
    </w:p>
    <w:p>
      <w:pPr>
        <w:ind w:firstLine="204"/>
        <w:jc w:val="both"/>
      </w:pPr>
      <w:r>
        <w:rPr>
          <w:rFonts w:ascii="Times New Roman" w:hAnsi="Times New Roman" w:eastAsia="Times New Roman"/>
          <w:i/>
          <w:sz w:val="20"/>
        </w:rPr>
        <w:t xml:space="preserve">Pregunta de negocio: </w:t>
      </w:r>
      <w:r>
        <w:rPr>
          <w:rFonts w:ascii="Times New Roman" w:hAnsi="Times New Roman" w:eastAsia="Times New Roman"/>
          <w:sz w:val="20"/>
        </w:rPr>
        <w:t>¿Qué estudiantes (y colegios/municipios) tienen mayor riesgo de obtener un puntaje global bajo en Saber 11, dadas sus características socioeconómicas y del colegio, para priorizar intervenciones de refuerzo?</w:t>
      </w:r>
    </w:p>
    <w:p>
      <w:pPr>
        <w:ind w:left="283" w:hanging="170"/>
        <w:jc w:val="both"/>
      </w:pPr>
      <w:r>
        <w:rPr>
          <w:rFonts w:ascii="Times New Roman" w:hAnsi="Times New Roman" w:eastAsia="Times New Roman"/>
          <w:sz w:val="20"/>
        </w:rPr>
        <w:t xml:space="preserve">• </w:t>
      </w:r>
      <w:r>
        <w:rPr>
          <w:rFonts w:ascii="Times New Roman" w:hAnsi="Times New Roman" w:eastAsia="Times New Roman"/>
          <w:i/>
          <w:sz w:val="20"/>
        </w:rPr>
        <w:t xml:space="preserve">Usuarios: </w:t>
      </w:r>
      <w:r>
        <w:rPr>
          <w:rFonts w:ascii="Times New Roman" w:hAnsi="Times New Roman" w:eastAsia="Times New Roman"/>
          <w:sz w:val="20"/>
        </w:rPr>
        <w:t>secretarías de educación departamentales y municipales, y rectores de colegios.</w:t>
      </w:r>
    </w:p>
    <w:p>
      <w:pPr>
        <w:ind w:left="283" w:hanging="170"/>
        <w:jc w:val="both"/>
      </w:pPr>
      <w:r>
        <w:rPr>
          <w:rFonts w:ascii="Times New Roman" w:hAnsi="Times New Roman" w:eastAsia="Times New Roman"/>
          <w:sz w:val="20"/>
        </w:rPr>
        <w:t xml:space="preserve">• </w:t>
      </w:r>
      <w:r>
        <w:rPr>
          <w:rFonts w:ascii="Times New Roman" w:hAnsi="Times New Roman" w:eastAsia="Times New Roman"/>
          <w:i/>
          <w:sz w:val="20"/>
        </w:rPr>
        <w:t xml:space="preserve">Componente descriptivo: </w:t>
      </w:r>
      <w:r>
        <w:rPr>
          <w:rFonts w:ascii="Times New Roman" w:hAnsi="Times New Roman" w:eastAsia="Times New Roman"/>
          <w:sz w:val="20"/>
        </w:rPr>
        <w:t>tablero con la distribución del riesgo por territorio, tipo de colegio y factores del hogar, y ranking de municipios y colegios prioritarios.</w:t>
      </w:r>
    </w:p>
    <w:p>
      <w:pPr>
        <w:ind w:left="283" w:hanging="170"/>
        <w:jc w:val="both"/>
      </w:pPr>
      <w:r>
        <w:rPr>
          <w:rFonts w:ascii="Times New Roman" w:hAnsi="Times New Roman" w:eastAsia="Times New Roman"/>
          <w:sz w:val="20"/>
        </w:rPr>
        <w:t xml:space="preserve">• </w:t>
      </w:r>
      <w:r>
        <w:rPr>
          <w:rFonts w:ascii="Times New Roman" w:hAnsi="Times New Roman" w:eastAsia="Times New Roman"/>
          <w:i/>
          <w:sz w:val="20"/>
        </w:rPr>
        <w:t xml:space="preserve">Componente predictivo: </w:t>
      </w:r>
      <w:r>
        <w:rPr>
          <w:rFonts w:ascii="Times New Roman" w:hAnsi="Times New Roman" w:eastAsia="Times New Roman"/>
          <w:sz w:val="20"/>
        </w:rPr>
        <w:t>clasificador de riesgo (puntaje global &lt; percentil 25 nacional = 210) y regresor del puntaje global, usando solo variables conocidas antes de la prueba.</w:t>
      </w:r>
    </w:p>
    <w:p>
      <w:pPr>
        <w:ind w:left="283" w:hanging="170"/>
        <w:jc w:val="both"/>
      </w:pPr>
      <w:r>
        <w:rPr>
          <w:rFonts w:ascii="Times New Roman" w:hAnsi="Times New Roman" w:eastAsia="Times New Roman"/>
          <w:sz w:val="20"/>
        </w:rPr>
        <w:t xml:space="preserve">• </w:t>
      </w:r>
      <w:r>
        <w:rPr>
          <w:rFonts w:ascii="Times New Roman" w:hAnsi="Times New Roman" w:eastAsia="Times New Roman"/>
          <w:i/>
          <w:sz w:val="20"/>
        </w:rPr>
        <w:t xml:space="preserve">Entregable final: </w:t>
      </w:r>
      <w:r>
        <w:rPr>
          <w:rFonts w:ascii="Times New Roman" w:hAnsi="Times New Roman" w:eastAsia="Times New Roman"/>
          <w:sz w:val="20"/>
        </w:rPr>
        <w:t>modelo empaquetado, API de inferencia con FastAPI [5] y tablero con Dash [6] que consume la API, desplegados en contenedores Docker [7] en AWS.</w:t>
      </w:r>
    </w:p>
    <w:p>
      <w:pPr>
        <w:ind w:left="283" w:hanging="170"/>
        <w:jc w:val="both"/>
      </w:pPr>
      <w:r>
        <w:rPr>
          <w:rFonts w:ascii="Times New Roman" w:hAnsi="Times New Roman" w:eastAsia="Times New Roman"/>
          <w:sz w:val="20"/>
        </w:rPr>
        <w:t xml:space="preserve">• </w:t>
      </w:r>
      <w:r>
        <w:rPr>
          <w:rFonts w:ascii="Times New Roman" w:hAnsi="Times New Roman" w:eastAsia="Times New Roman"/>
          <w:i/>
          <w:sz w:val="20"/>
        </w:rPr>
        <w:t xml:space="preserve">Fuera del alcance: </w:t>
      </w:r>
      <w:r>
        <w:rPr>
          <w:rFonts w:ascii="Times New Roman" w:hAnsi="Times New Roman" w:eastAsia="Times New Roman"/>
          <w:sz w:val="20"/>
        </w:rPr>
        <w:t>inferencia causal, diseño o evaluación de las intervenciones, datos individuales no públicos y otras pruebas del ICFES.</w:t>
      </w:r>
    </w:p>
    <w:p>
      <w:pPr>
        <w:ind w:left="283" w:hanging="170"/>
        <w:jc w:val="both"/>
      </w:pPr>
      <w:r>
        <w:rPr>
          <w:rFonts w:ascii="Times New Roman" w:hAnsi="Times New Roman" w:eastAsia="Times New Roman"/>
          <w:sz w:val="20"/>
        </w:rPr>
        <w:t xml:space="preserve">• </w:t>
      </w:r>
      <w:r>
        <w:rPr>
          <w:rFonts w:ascii="Times New Roman" w:hAnsi="Times New Roman" w:eastAsia="Times New Roman"/>
          <w:i/>
          <w:sz w:val="20"/>
        </w:rPr>
        <w:t xml:space="preserve">Criterio de éxito: </w:t>
      </w:r>
      <w:r>
        <w:rPr>
          <w:rFonts w:ascii="Times New Roman" w:hAnsi="Times New Roman" w:eastAsia="Times New Roman"/>
          <w:sz w:val="20"/>
        </w:rPr>
        <w:t>AUC ≥ 0,75 y recall ≥ 0,70 en la clase de riesgo sobre un conjunto de prueba separado; tablero utilizable con filtros territoriales.</w:t>
      </w:r>
    </w:p>
    <w:p>
      <w:pPr>
        <w:keepNext/>
        <w:spacing w:before="160" w:after="80"/>
        <w:jc w:val="center"/>
      </w:pPr>
      <w:r>
        <w:rPr>
          <w:rFonts w:ascii="Times New Roman" w:hAnsi="Times New Roman" w:eastAsia="Times New Roman"/>
          <w:smallCaps/>
          <w:sz w:val="20"/>
        </w:rPr>
        <w:t>III. Conjunto de datos</w:t>
      </w:r>
    </w:p>
    <w:p>
      <w:pPr>
        <w:ind w:firstLine="204"/>
        <w:jc w:val="both"/>
      </w:pPr>
      <w:r>
        <w:rPr>
          <w:rFonts w:ascii="Times New Roman" w:hAnsi="Times New Roman" w:eastAsia="Times New Roman"/>
          <w:sz w:val="20"/>
        </w:rPr>
        <w:t>Se usa el conjunto «Resultados únicos Saber 11» publicado por el ICFES en datos.gov.co [1] (id kgxf-xxbe, API Socrata). Contiene un registro por estudiante evaluado desde 2010 con 51 columnas. Para esta entrega se toma el periodo más reciente publicado (20224): 1.065.888 filas descargadas, que corresponden a 532.788 estudiantes únicos, 10.378 colegios y 1.114 municipios. La descarga es reproducible con src/download_data.py, que selecciona 35 columnas vía SoQL. La Tabla I resume las variables.</w:t>
      </w:r>
    </w:p>
    <w:p>
      <w:pPr>
        <w:keepNext/>
        <w:jc w:val="center"/>
      </w:pPr>
      <w:r>
        <w:rPr>
          <w:rFonts w:ascii="Times New Roman" w:hAnsi="Times New Roman" w:eastAsia="Times New Roman"/>
          <w:smallCaps/>
          <w:sz w:val="16"/>
        </w:rPr>
        <w:t>Tabla I</w:t>
      </w:r>
    </w:p>
    <w:p>
      <w:pPr>
        <w:keepNext/>
        <w:jc w:val="center"/>
      </w:pPr>
      <w:r>
        <w:rPr>
          <w:rFonts w:ascii="Times New Roman" w:hAnsi="Times New Roman" w:eastAsia="Times New Roman"/>
          <w:smallCaps/>
          <w:sz w:val="16"/>
        </w:rPr>
        <w:t>Grupos de variables</w:t>
      </w:r>
    </w:p>
    <w:tbl>
      <w:tblPr>
        <w:tblStyle w:val="TableGrid"/>
        <w:tblW w:type="auto" w:w="0"/>
        <w:jc w:val="center"/>
        <w:tblLook w:firstColumn="1" w:firstRow="1" w:lastColumn="0" w:lastRow="0" w:noHBand="0" w:noVBand="1" w:val="04A0"/>
      </w:tblPr>
      <w:tblGrid>
        <w:gridCol w:w="3480"/>
        <w:gridCol w:w="3480"/>
        <w:gridCol w:w="3480"/>
      </w:tblGrid>
      <w:tr>
        <w:tc>
          <w:tcPr>
            <w:tcW w:type="dxa" w:w="907"/>
            <w:shd w:val="clear" w:color="auto" w:fill="E8E8E8"/>
          </w:tcPr>
          <w:p>
            <w:r/>
            <w:r>
              <w:rPr>
                <w:rFonts w:ascii="Times New Roman" w:hAnsi="Times New Roman" w:eastAsia="Times New Roman"/>
                <w:b/>
                <w:sz w:val="16"/>
              </w:rPr>
              <w:t>Grupo</w:t>
            </w:r>
          </w:p>
        </w:tc>
        <w:tc>
          <w:tcPr>
            <w:tcW w:type="dxa" w:w="2778"/>
            <w:shd w:val="clear" w:color="auto" w:fill="E8E8E8"/>
          </w:tcPr>
          <w:p>
            <w:r/>
            <w:r>
              <w:rPr>
                <w:rFonts w:ascii="Times New Roman" w:hAnsi="Times New Roman" w:eastAsia="Times New Roman"/>
                <w:b/>
                <w:sz w:val="16"/>
              </w:rPr>
              <w:t>Variables</w:t>
            </w:r>
          </w:p>
        </w:tc>
        <w:tc>
          <w:tcPr>
            <w:tcW w:type="dxa" w:w="1077"/>
            <w:shd w:val="clear" w:color="auto" w:fill="E8E8E8"/>
          </w:tcPr>
          <w:p>
            <w:r/>
            <w:r>
              <w:rPr>
                <w:rFonts w:ascii="Times New Roman" w:hAnsi="Times New Roman" w:eastAsia="Times New Roman"/>
                <w:b/>
                <w:sz w:val="16"/>
              </w:rPr>
              <w:t>Uso</w:t>
            </w:r>
          </w:p>
        </w:tc>
      </w:tr>
      <w:tr>
        <w:tc>
          <w:tcPr>
            <w:tcW w:type="dxa" w:w="907"/>
          </w:tcPr>
          <w:p>
            <w:r/>
            <w:r>
              <w:rPr>
                <w:rFonts w:ascii="Times New Roman" w:hAnsi="Times New Roman" w:eastAsia="Times New Roman"/>
                <w:sz w:val="16"/>
              </w:rPr>
              <w:t>Estudiante</w:t>
            </w:r>
          </w:p>
        </w:tc>
        <w:tc>
          <w:tcPr>
            <w:tcW w:type="dxa" w:w="2778"/>
          </w:tcPr>
          <w:p>
            <w:r/>
            <w:r>
              <w:rPr>
                <w:rFonts w:ascii="Times New Roman" w:hAnsi="Times New Roman" w:eastAsia="Times New Roman"/>
                <w:sz w:val="16"/>
              </w:rPr>
              <w:t>género, edad (derivada), residencia</w:t>
            </w:r>
          </w:p>
        </w:tc>
        <w:tc>
          <w:tcPr>
            <w:tcW w:type="dxa" w:w="1077"/>
          </w:tcPr>
          <w:p>
            <w:r/>
            <w:r>
              <w:rPr>
                <w:rFonts w:ascii="Times New Roman" w:hAnsi="Times New Roman" w:eastAsia="Times New Roman"/>
                <w:sz w:val="16"/>
              </w:rPr>
              <w:t>Predictor</w:t>
            </w:r>
          </w:p>
        </w:tc>
      </w:tr>
      <w:tr>
        <w:tc>
          <w:tcPr>
            <w:tcW w:type="dxa" w:w="907"/>
          </w:tcPr>
          <w:p>
            <w:r/>
            <w:r>
              <w:rPr>
                <w:rFonts w:ascii="Times New Roman" w:hAnsi="Times New Roman" w:eastAsia="Times New Roman"/>
                <w:sz w:val="16"/>
              </w:rPr>
              <w:t>Hogar</w:t>
            </w:r>
          </w:p>
        </w:tc>
        <w:tc>
          <w:tcPr>
            <w:tcW w:type="dxa" w:w="2778"/>
          </w:tcPr>
          <w:p>
            <w:r/>
            <w:r>
              <w:rPr>
                <w:rFonts w:ascii="Times New Roman" w:hAnsi="Times New Roman" w:eastAsia="Times New Roman"/>
                <w:sz w:val="16"/>
              </w:rPr>
              <w:t>estrato, educación madre y padre, personas, cuartos, internet, computador, automóvil, lavadora</w:t>
            </w:r>
          </w:p>
        </w:tc>
        <w:tc>
          <w:tcPr>
            <w:tcW w:type="dxa" w:w="1077"/>
          </w:tcPr>
          <w:p>
            <w:r/>
            <w:r>
              <w:rPr>
                <w:rFonts w:ascii="Times New Roman" w:hAnsi="Times New Roman" w:eastAsia="Times New Roman"/>
                <w:sz w:val="16"/>
              </w:rPr>
              <w:t>Predictor</w:t>
            </w:r>
          </w:p>
        </w:tc>
      </w:tr>
      <w:tr>
        <w:tc>
          <w:tcPr>
            <w:tcW w:type="dxa" w:w="907"/>
          </w:tcPr>
          <w:p>
            <w:r/>
            <w:r>
              <w:rPr>
                <w:rFonts w:ascii="Times New Roman" w:hAnsi="Times New Roman" w:eastAsia="Times New Roman"/>
                <w:sz w:val="16"/>
              </w:rPr>
              <w:t>Colegio</w:t>
            </w:r>
          </w:p>
        </w:tc>
        <w:tc>
          <w:tcPr>
            <w:tcW w:type="dxa" w:w="2778"/>
          </w:tcPr>
          <w:p>
            <w:r/>
            <w:r>
              <w:rPr>
                <w:rFonts w:ascii="Times New Roman" w:hAnsi="Times New Roman" w:eastAsia="Times New Roman"/>
                <w:sz w:val="16"/>
              </w:rPr>
              <w:t>naturaleza, zona, jornada, calendario, bilingüe, carácter, depto., municipio</w:t>
            </w:r>
          </w:p>
        </w:tc>
        <w:tc>
          <w:tcPr>
            <w:tcW w:type="dxa" w:w="1077"/>
          </w:tcPr>
          <w:p>
            <w:r/>
            <w:r>
              <w:rPr>
                <w:rFonts w:ascii="Times New Roman" w:hAnsi="Times New Roman" w:eastAsia="Times New Roman"/>
                <w:sz w:val="16"/>
              </w:rPr>
              <w:t>Predictor / filtro</w:t>
            </w:r>
          </w:p>
        </w:tc>
      </w:tr>
      <w:tr>
        <w:tc>
          <w:tcPr>
            <w:tcW w:type="dxa" w:w="907"/>
          </w:tcPr>
          <w:p>
            <w:r/>
            <w:r>
              <w:rPr>
                <w:rFonts w:ascii="Times New Roman" w:hAnsi="Times New Roman" w:eastAsia="Times New Roman"/>
                <w:sz w:val="16"/>
              </w:rPr>
              <w:t>Resultados</w:t>
            </w:r>
          </w:p>
        </w:tc>
        <w:tc>
          <w:tcPr>
            <w:tcW w:type="dxa" w:w="2778"/>
          </w:tcPr>
          <w:p>
            <w:r/>
            <w:r>
              <w:rPr>
                <w:rFonts w:ascii="Times New Roman" w:hAnsi="Times New Roman" w:eastAsia="Times New Roman"/>
                <w:sz w:val="16"/>
              </w:rPr>
              <w:t>lectura, matemáticas, naturales, sociales, inglés (0–100), global (0–500)</w:t>
            </w:r>
          </w:p>
        </w:tc>
        <w:tc>
          <w:tcPr>
            <w:tcW w:type="dxa" w:w="1077"/>
          </w:tcPr>
          <w:p>
            <w:r/>
            <w:r>
              <w:rPr>
                <w:rFonts w:ascii="Times New Roman" w:hAnsi="Times New Roman" w:eastAsia="Times New Roman"/>
                <w:sz w:val="16"/>
              </w:rPr>
              <w:t>Objetivo</w:t>
            </w:r>
          </w:p>
        </w:tc>
      </w:tr>
      <w:tr>
        <w:tc>
          <w:tcPr>
            <w:tcW w:type="dxa" w:w="907"/>
          </w:tcPr>
          <w:p>
            <w:r/>
            <w:r>
              <w:rPr>
                <w:rFonts w:ascii="Times New Roman" w:hAnsi="Times New Roman" w:eastAsia="Times New Roman"/>
                <w:sz w:val="16"/>
              </w:rPr>
              <w:t>Derivada</w:t>
            </w:r>
          </w:p>
        </w:tc>
        <w:tc>
          <w:tcPr>
            <w:tcW w:type="dxa" w:w="2778"/>
          </w:tcPr>
          <w:p>
            <w:r/>
            <w:r>
              <w:rPr>
                <w:rFonts w:ascii="Times New Roman" w:hAnsi="Times New Roman" w:eastAsia="Times New Roman"/>
                <w:sz w:val="16"/>
              </w:rPr>
              <w:t>riesgo = 1 si global &lt; P25 (210)</w:t>
            </w:r>
          </w:p>
        </w:tc>
        <w:tc>
          <w:tcPr>
            <w:tcW w:type="dxa" w:w="1077"/>
          </w:tcPr>
          <w:p>
            <w:r/>
            <w:r>
              <w:rPr>
                <w:rFonts w:ascii="Times New Roman" w:hAnsi="Times New Roman" w:eastAsia="Times New Roman"/>
                <w:sz w:val="16"/>
              </w:rPr>
              <w:t>Objetivo</w:t>
            </w:r>
          </w:p>
        </w:tc>
      </w:tr>
    </w:tbl>
    <w:p>
      <w:pPr>
        <w:spacing w:after="80"/>
      </w:pPr>
    </w:p>
    <w:p>
      <w:pPr>
        <w:ind w:firstLine="204"/>
        <w:jc w:val="both"/>
      </w:pPr>
      <w:r>
        <w:rPr>
          <w:rFonts w:ascii="Times New Roman" w:hAnsi="Times New Roman" w:eastAsia="Times New Roman"/>
          <w:i/>
          <w:sz w:val="20"/>
        </w:rPr>
        <w:t xml:space="preserve">Calidad de datos. </w:t>
      </w:r>
      <w:r>
        <w:rPr>
          <w:rFonts w:ascii="Times New Roman" w:hAnsi="Times New Roman" w:eastAsia="Times New Roman"/>
          <w:sz w:val="20"/>
        </w:rPr>
        <w:t>El pipeline (src/clean_data.py) resuelve tres problemas. Primero, la fuente publica cada registro dos veces, lo que se verificó contra la API con count(distinct estu_consecutivo) = 532.792, y se deduplica por estudiante. Segundo, cuatro pruebas tienen puntaje 0 (anuladas) y se excluyen. Tercero, las variables del hogar tienen 4–7 % de nulos y cole_bilingue 18 %; se conservarán como categoría «Sin información».</w:t>
      </w:r>
    </w:p>
    <w:p>
      <w:pPr>
        <w:keepNext/>
        <w:spacing w:before="160" w:after="80"/>
        <w:jc w:val="center"/>
      </w:pPr>
      <w:r>
        <w:rPr>
          <w:rFonts w:ascii="Times New Roman" w:hAnsi="Times New Roman" w:eastAsia="Times New Roman"/>
          <w:smallCaps/>
          <w:sz w:val="20"/>
        </w:rPr>
        <w:t>IV. Exploración de los datos</w:t>
      </w:r>
    </w:p>
    <w:p>
      <w:pPr>
        <w:ind w:firstLine="204"/>
        <w:jc w:val="both"/>
      </w:pPr>
      <w:r>
        <w:rPr>
          <w:rFonts w:ascii="Times New Roman" w:hAnsi="Times New Roman" w:eastAsia="Times New Roman"/>
          <w:sz w:val="20"/>
        </w:rPr>
        <w:t>La exploración completa está en notebooks/01_eda.ipynb. Se presentan los resultados más relevantes para la pregunta de negocio.</w:t>
      </w:r>
    </w:p>
    <w:p>
      <w:pPr>
        <w:keepNext/>
        <w:spacing w:before="80" w:after="40"/>
      </w:pPr>
      <w:r>
        <w:rPr>
          <w:rFonts w:ascii="Times New Roman" w:hAnsi="Times New Roman" w:eastAsia="Times New Roman"/>
          <w:i/>
          <w:sz w:val="20"/>
        </w:rPr>
        <w:t>A. Variable objetivo</w:t>
      </w:r>
    </w:p>
    <w:p>
      <w:pPr>
        <w:keepNext/>
        <w:spacing w:before="120"/>
        <w:jc w:val="center"/>
      </w:pPr>
      <w:r>
        <w:drawing>
          <wp:inline xmlns:a="http://schemas.openxmlformats.org/drawingml/2006/main" xmlns:pic="http://schemas.openxmlformats.org/drawingml/2006/picture">
            <wp:extent cx="3024000" cy="1504645"/>
            <wp:docPr id="1" name="Picture 1"/>
            <wp:cNvGraphicFramePr>
              <a:graphicFrameLocks noChangeAspect="1"/>
            </wp:cNvGraphicFramePr>
            <a:graphic>
              <a:graphicData uri="http://schemas.openxmlformats.org/drawingml/2006/picture">
                <pic:pic>
                  <pic:nvPicPr>
                    <pic:cNvPr id="0" name="02_dist_global.png"/>
                    <pic:cNvPicPr/>
                  </pic:nvPicPr>
                  <pic:blipFill>
                    <a:blip r:embed="rId9"/>
                    <a:stretch>
                      <a:fillRect/>
                    </a:stretch>
                  </pic:blipFill>
                  <pic:spPr>
                    <a:xfrm>
                      <a:off x="0" y="0"/>
                      <a:ext cx="3024000" cy="1504645"/>
                    </a:xfrm>
                    <a:prstGeom prst="rect"/>
                  </pic:spPr>
                </pic:pic>
              </a:graphicData>
            </a:graphic>
          </wp:inline>
        </w:drawing>
      </w:r>
    </w:p>
    <w:p>
      <w:pPr>
        <w:spacing w:before="60" w:after="160"/>
        <w:jc w:val="both"/>
      </w:pPr>
      <w:r>
        <w:rPr>
          <w:rFonts w:ascii="Times New Roman" w:hAnsi="Times New Roman" w:eastAsia="Times New Roman"/>
          <w:sz w:val="16"/>
        </w:rPr>
        <w:t xml:space="preserve">Fig. 1. </w:t>
      </w:r>
      <w:r>
        <w:rPr>
          <w:rFonts w:ascii="Times New Roman" w:hAnsi="Times New Roman" w:eastAsia="Times New Roman"/>
          <w:sz w:val="16"/>
        </w:rPr>
        <w:t>Distribución del puntaje global con el umbral de riesgo P25 = 210 y la media.</w:t>
      </w:r>
    </w:p>
    <w:p>
      <w:pPr>
        <w:ind w:firstLine="204"/>
        <w:jc w:val="both"/>
      </w:pPr>
      <w:r>
        <w:rPr>
          <w:rFonts w:ascii="Times New Roman" w:hAnsi="Times New Roman" w:eastAsia="Times New Roman"/>
          <w:sz w:val="20"/>
        </w:rPr>
        <w:t>El puntaje global tiene media 250 y desviación estándar 52 (Fig. 1). Su distribución es aproximadamente normal y ligeramente sesgada a la derecha. Definir el riesgo como el cuartil inferior genera una clase positiva del 25 %, un desbalance moderado: se evaluará con AUC y recall y se usará ponderación de clases. Los puntajes por área tienen correlaciones de 0,68 a 0,81 entre sí y casi determinan el global, por lo que no se usarán como predictores (fuga de información).</w:t>
      </w:r>
    </w:p>
    <w:p>
      <w:pPr>
        <w:keepNext/>
        <w:spacing w:before="80" w:after="40"/>
      </w:pPr>
      <w:r>
        <w:rPr>
          <w:rFonts w:ascii="Times New Roman" w:hAnsi="Times New Roman" w:eastAsia="Times New Roman"/>
          <w:i/>
          <w:sz w:val="20"/>
        </w:rPr>
        <w:t>B. Factores del hogar</w:t>
      </w:r>
    </w:p>
    <w:p>
      <w:pPr>
        <w:keepNext/>
        <w:spacing w:before="120"/>
        <w:jc w:val="center"/>
      </w:pPr>
      <w:r>
        <w:drawing>
          <wp:inline xmlns:a="http://schemas.openxmlformats.org/drawingml/2006/main" xmlns:pic="http://schemas.openxmlformats.org/drawingml/2006/picture">
            <wp:extent cx="3024000" cy="1280309"/>
            <wp:docPr id="2" name="Picture 2"/>
            <wp:cNvGraphicFramePr>
              <a:graphicFrameLocks noChangeAspect="1"/>
            </wp:cNvGraphicFramePr>
            <a:graphic>
              <a:graphicData uri="http://schemas.openxmlformats.org/drawingml/2006/picture">
                <pic:pic>
                  <pic:nvPicPr>
                    <pic:cNvPr id="0" name="07_riesgo_edu_madre.png"/>
                    <pic:cNvPicPr/>
                  </pic:nvPicPr>
                  <pic:blipFill>
                    <a:blip r:embed="rId10"/>
                    <a:stretch>
                      <a:fillRect/>
                    </a:stretch>
                  </pic:blipFill>
                  <pic:spPr>
                    <a:xfrm>
                      <a:off x="0" y="0"/>
                      <a:ext cx="3024000" cy="1280309"/>
                    </a:xfrm>
                    <a:prstGeom prst="rect"/>
                  </pic:spPr>
                </pic:pic>
              </a:graphicData>
            </a:graphic>
          </wp:inline>
        </w:drawing>
      </w:r>
    </w:p>
    <w:p>
      <w:pPr>
        <w:spacing w:before="60" w:after="160"/>
        <w:jc w:val="both"/>
      </w:pPr>
      <w:r>
        <w:rPr>
          <w:rFonts w:ascii="Times New Roman" w:hAnsi="Times New Roman" w:eastAsia="Times New Roman"/>
          <w:sz w:val="16"/>
        </w:rPr>
        <w:t xml:space="preserve">Fig. 2. </w:t>
      </w:r>
      <w:r>
        <w:rPr>
          <w:rFonts w:ascii="Times New Roman" w:hAnsi="Times New Roman" w:eastAsia="Times New Roman"/>
          <w:sz w:val="16"/>
        </w:rPr>
        <w:t>Tasa de riesgo por nivel educativo de la madre. Línea punteada: 25 % nacional.</w:t>
      </w:r>
    </w:p>
    <w:p>
      <w:pPr>
        <w:keepNext/>
        <w:spacing w:before="120"/>
        <w:jc w:val="center"/>
      </w:pPr>
      <w:r>
        <w:drawing>
          <wp:inline xmlns:a="http://schemas.openxmlformats.org/drawingml/2006/main" xmlns:pic="http://schemas.openxmlformats.org/drawingml/2006/picture">
            <wp:extent cx="3024000" cy="1536677"/>
            <wp:docPr id="3" name="Picture 3"/>
            <wp:cNvGraphicFramePr>
              <a:graphicFrameLocks noChangeAspect="1"/>
            </wp:cNvGraphicFramePr>
            <a:graphic>
              <a:graphicData uri="http://schemas.openxmlformats.org/drawingml/2006/picture">
                <pic:pic>
                  <pic:nvPicPr>
                    <pic:cNvPr id="0" name="08_riesgo_recursos.png"/>
                    <pic:cNvPicPr/>
                  </pic:nvPicPr>
                  <pic:blipFill>
                    <a:blip r:embed="rId11"/>
                    <a:stretch>
                      <a:fillRect/>
                    </a:stretch>
                  </pic:blipFill>
                  <pic:spPr>
                    <a:xfrm>
                      <a:off x="0" y="0"/>
                      <a:ext cx="3024000" cy="1536677"/>
                    </a:xfrm>
                    <a:prstGeom prst="rect"/>
                  </pic:spPr>
                </pic:pic>
              </a:graphicData>
            </a:graphic>
          </wp:inline>
        </w:drawing>
      </w:r>
    </w:p>
    <w:p>
      <w:pPr>
        <w:spacing w:before="60" w:after="160"/>
        <w:jc w:val="both"/>
      </w:pPr>
      <w:r>
        <w:rPr>
          <w:rFonts w:ascii="Times New Roman" w:hAnsi="Times New Roman" w:eastAsia="Times New Roman"/>
          <w:sz w:val="16"/>
        </w:rPr>
        <w:t xml:space="preserve">Fig. 3. </w:t>
      </w:r>
      <w:r>
        <w:rPr>
          <w:rFonts w:ascii="Times New Roman" w:hAnsi="Times New Roman" w:eastAsia="Times New Roman"/>
          <w:sz w:val="16"/>
        </w:rPr>
        <w:t>Tasa de riesgo según recursos del hogar.</w:t>
      </w:r>
    </w:p>
    <w:p>
      <w:pPr>
        <w:ind w:firstLine="204"/>
        <w:jc w:val="both"/>
      </w:pPr>
      <w:r>
        <w:rPr>
          <w:rFonts w:ascii="Times New Roman" w:hAnsi="Times New Roman" w:eastAsia="Times New Roman"/>
          <w:sz w:val="20"/>
        </w:rPr>
        <w:t>La educación de la madre es el factor con mayor asociación con el puntaje (η² = 0,13). El riesgo baja de forma monótona de 55 % (sin educación) a 6 % (posgrado) (Fig. 2). Los estudiantes sin internet o sin computador tienen aproximadamente el doble de riesgo (39 % y 34 %) que quienes sí los tienen (19 % y 16 %) (Fig. 3). Esto apunta a intervenciones concretas, como la conectividad.</w:t>
      </w:r>
    </w:p>
    <w:p>
      <w:pPr>
        <w:keepNext/>
        <w:spacing w:before="80" w:after="40"/>
      </w:pPr>
      <w:r>
        <w:rPr>
          <w:rFonts w:ascii="Times New Roman" w:hAnsi="Times New Roman" w:eastAsia="Times New Roman"/>
          <w:i/>
          <w:sz w:val="20"/>
        </w:rPr>
        <w:t>C. Factores del colegio</w:t>
      </w:r>
    </w:p>
    <w:p>
      <w:pPr>
        <w:keepNext/>
        <w:spacing w:before="120"/>
        <w:jc w:val="center"/>
      </w:pPr>
      <w:r>
        <w:drawing>
          <wp:inline xmlns:a="http://schemas.openxmlformats.org/drawingml/2006/main" xmlns:pic="http://schemas.openxmlformats.org/drawingml/2006/picture">
            <wp:extent cx="3024000" cy="1505691"/>
            <wp:docPr id="4" name="Picture 4"/>
            <wp:cNvGraphicFramePr>
              <a:graphicFrameLocks noChangeAspect="1"/>
            </wp:cNvGraphicFramePr>
            <a:graphic>
              <a:graphicData uri="http://schemas.openxmlformats.org/drawingml/2006/picture">
                <pic:pic>
                  <pic:nvPicPr>
                    <pic:cNvPr id="0" name="09_riesgo_colegio.png"/>
                    <pic:cNvPicPr/>
                  </pic:nvPicPr>
                  <pic:blipFill>
                    <a:blip r:embed="rId12"/>
                    <a:stretch>
                      <a:fillRect/>
                    </a:stretch>
                  </pic:blipFill>
                  <pic:spPr>
                    <a:xfrm>
                      <a:off x="0" y="0"/>
                      <a:ext cx="3024000" cy="1505691"/>
                    </a:xfrm>
                    <a:prstGeom prst="rect"/>
                  </pic:spPr>
                </pic:pic>
              </a:graphicData>
            </a:graphic>
          </wp:inline>
        </w:drawing>
      </w:r>
    </w:p>
    <w:p>
      <w:pPr>
        <w:spacing w:before="60" w:after="160"/>
        <w:jc w:val="both"/>
      </w:pPr>
      <w:r>
        <w:rPr>
          <w:rFonts w:ascii="Times New Roman" w:hAnsi="Times New Roman" w:eastAsia="Times New Roman"/>
          <w:sz w:val="16"/>
        </w:rPr>
        <w:t xml:space="preserve">Fig. 4. </w:t>
      </w:r>
      <w:r>
        <w:rPr>
          <w:rFonts w:ascii="Times New Roman" w:hAnsi="Times New Roman" w:eastAsia="Times New Roman"/>
          <w:sz w:val="16"/>
        </w:rPr>
        <w:t>Tasa de riesgo según características del colegio.</w:t>
      </w:r>
    </w:p>
    <w:p>
      <w:pPr>
        <w:keepNext/>
        <w:spacing w:before="120"/>
        <w:jc w:val="center"/>
      </w:pPr>
      <w:r>
        <w:drawing>
          <wp:inline xmlns:a="http://schemas.openxmlformats.org/drawingml/2006/main" xmlns:pic="http://schemas.openxmlformats.org/drawingml/2006/picture">
            <wp:extent cx="3024000" cy="1547493"/>
            <wp:docPr id="5" name="Picture 5"/>
            <wp:cNvGraphicFramePr>
              <a:graphicFrameLocks noChangeAspect="1"/>
            </wp:cNvGraphicFramePr>
            <a:graphic>
              <a:graphicData uri="http://schemas.openxmlformats.org/drawingml/2006/picture">
                <pic:pic>
                  <pic:nvPicPr>
                    <pic:cNvPr id="0" name="10_riesgo_jornada.png"/>
                    <pic:cNvPicPr/>
                  </pic:nvPicPr>
                  <pic:blipFill>
                    <a:blip r:embed="rId13"/>
                    <a:stretch>
                      <a:fillRect/>
                    </a:stretch>
                  </pic:blipFill>
                  <pic:spPr>
                    <a:xfrm>
                      <a:off x="0" y="0"/>
                      <a:ext cx="3024000" cy="1547493"/>
                    </a:xfrm>
                    <a:prstGeom prst="rect"/>
                  </pic:spPr>
                </pic:pic>
              </a:graphicData>
            </a:graphic>
          </wp:inline>
        </w:drawing>
      </w:r>
    </w:p>
    <w:p>
      <w:pPr>
        <w:spacing w:before="60" w:after="160"/>
        <w:jc w:val="both"/>
      </w:pPr>
      <w:r>
        <w:rPr>
          <w:rFonts w:ascii="Times New Roman" w:hAnsi="Times New Roman" w:eastAsia="Times New Roman"/>
          <w:sz w:val="16"/>
        </w:rPr>
        <w:t xml:space="preserve">Fig. 5. </w:t>
      </w:r>
      <w:r>
        <w:rPr>
          <w:rFonts w:ascii="Times New Roman" w:hAnsi="Times New Roman" w:eastAsia="Times New Roman"/>
          <w:sz w:val="16"/>
        </w:rPr>
        <w:t>Tasa de riesgo por jornada escolar.</w:t>
      </w:r>
    </w:p>
    <w:p>
      <w:pPr>
        <w:ind w:firstLine="204"/>
        <w:jc w:val="both"/>
      </w:pPr>
      <w:r>
        <w:rPr>
          <w:rFonts w:ascii="Times New Roman" w:hAnsi="Times New Roman" w:eastAsia="Times New Roman"/>
          <w:sz w:val="20"/>
        </w:rPr>
        <w:t>Las jornadas nocturna y sabatina, que atienden principalmente a jóvenes en extraedad y adultos, tienen más de 50 % de riesgo, frente a 12 % en la jornada completa (Fig. 5). Los colegios rurales (40 %) y los oficiales (28 % vs. 16 %) también concentran el riesgo (Fig. 4). Calendario y bilingüismo casi no discriminan (η² ≈ 0).</w:t>
      </w:r>
    </w:p>
    <w:p>
      <w:pPr>
        <w:keepNext/>
        <w:spacing w:before="80" w:after="40"/>
      </w:pPr>
      <w:r>
        <w:rPr>
          <w:rFonts w:ascii="Times New Roman" w:hAnsi="Times New Roman" w:eastAsia="Times New Roman"/>
          <w:i/>
          <w:sz w:val="20"/>
        </w:rPr>
        <w:t>D. Dimensión territorial</w:t>
      </w:r>
    </w:p>
    <w:p>
      <w:pPr>
        <w:keepNext/>
        <w:spacing w:before="120"/>
        <w:jc w:val="center"/>
      </w:pPr>
      <w:r>
        <w:drawing>
          <wp:inline xmlns:a="http://schemas.openxmlformats.org/drawingml/2006/main" xmlns:pic="http://schemas.openxmlformats.org/drawingml/2006/picture">
            <wp:extent cx="3024000" cy="2644242"/>
            <wp:docPr id="6" name="Picture 6"/>
            <wp:cNvGraphicFramePr>
              <a:graphicFrameLocks noChangeAspect="1"/>
            </wp:cNvGraphicFramePr>
            <a:graphic>
              <a:graphicData uri="http://schemas.openxmlformats.org/drawingml/2006/picture">
                <pic:pic>
                  <pic:nvPicPr>
                    <pic:cNvPr id="0" name="12_riesgo_depto.png"/>
                    <pic:cNvPicPr/>
                  </pic:nvPicPr>
                  <pic:blipFill>
                    <a:blip r:embed="rId14"/>
                    <a:stretch>
                      <a:fillRect/>
                    </a:stretch>
                  </pic:blipFill>
                  <pic:spPr>
                    <a:xfrm>
                      <a:off x="0" y="0"/>
                      <a:ext cx="3024000" cy="2644242"/>
                    </a:xfrm>
                    <a:prstGeom prst="rect"/>
                  </pic:spPr>
                </pic:pic>
              </a:graphicData>
            </a:graphic>
          </wp:inline>
        </w:drawing>
      </w:r>
    </w:p>
    <w:p>
      <w:pPr>
        <w:spacing w:before="60" w:after="160"/>
        <w:jc w:val="both"/>
      </w:pPr>
      <w:r>
        <w:rPr>
          <w:rFonts w:ascii="Times New Roman" w:hAnsi="Times New Roman" w:eastAsia="Times New Roman"/>
          <w:sz w:val="16"/>
        </w:rPr>
        <w:t xml:space="preserve">Fig. 6. </w:t>
      </w:r>
      <w:r>
        <w:rPr>
          <w:rFonts w:ascii="Times New Roman" w:hAnsi="Times New Roman" w:eastAsia="Times New Roman"/>
          <w:sz w:val="16"/>
        </w:rPr>
        <w:t>Tasa de riesgo por departamento del colegio.</w:t>
      </w:r>
    </w:p>
    <w:p>
      <w:pPr>
        <w:ind w:firstLine="204"/>
        <w:jc w:val="both"/>
      </w:pPr>
      <w:r>
        <w:rPr>
          <w:rFonts w:ascii="Times New Roman" w:hAnsi="Times New Roman" w:eastAsia="Times New Roman"/>
          <w:sz w:val="20"/>
        </w:rPr>
        <w:t>La brecha territorial es muy marcada (Fig. 6): Chocó (61 %), Vaupés (54 %), Amazonas (51 %) y La Guajira (47 %) frente a Boyacá y Bogotá (12 %). Dentro de los departamentos el riesgo se concentra aún más: 115 municipios con al menos 100 evaluados y 1.172 colegios tienen 50 % o más de estudiantes en riesgo (p. ej., Bojayá 98 % y Timbiquí 86 %). Por eso el tablero debe permitir bajar a nivel de municipio y colegio.</w:t>
      </w:r>
    </w:p>
    <w:p>
      <w:pPr>
        <w:keepNext/>
        <w:spacing w:before="80" w:after="40"/>
      </w:pPr>
      <w:r>
        <w:rPr>
          <w:rFonts w:ascii="Times New Roman" w:hAnsi="Times New Roman" w:eastAsia="Times New Roman"/>
          <w:i/>
          <w:sz w:val="20"/>
        </w:rPr>
        <w:t>E. Hallazgo de calidad: estrato</w:t>
      </w:r>
    </w:p>
    <w:p>
      <w:pPr>
        <w:keepNext/>
        <w:spacing w:before="120"/>
        <w:jc w:val="center"/>
      </w:pPr>
      <w:r>
        <w:drawing>
          <wp:inline xmlns:a="http://schemas.openxmlformats.org/drawingml/2006/main" xmlns:pic="http://schemas.openxmlformats.org/drawingml/2006/picture">
            <wp:extent cx="3024000" cy="2486400"/>
            <wp:docPr id="7" name="Picture 7"/>
            <wp:cNvGraphicFramePr>
              <a:graphicFrameLocks noChangeAspect="1"/>
            </wp:cNvGraphicFramePr>
            <a:graphic>
              <a:graphicData uri="http://schemas.openxmlformats.org/drawingml/2006/picture">
                <pic:pic>
                  <pic:nvPicPr>
                    <pic:cNvPr id="0" name="11_heat_estrato_naturaleza.png"/>
                    <pic:cNvPicPr/>
                  </pic:nvPicPr>
                  <pic:blipFill>
                    <a:blip r:embed="rId15"/>
                    <a:stretch>
                      <a:fillRect/>
                    </a:stretch>
                  </pic:blipFill>
                  <pic:spPr>
                    <a:xfrm>
                      <a:off x="0" y="0"/>
                      <a:ext cx="3024000" cy="2486400"/>
                    </a:xfrm>
                    <a:prstGeom prst="rect"/>
                  </pic:spPr>
                </pic:pic>
              </a:graphicData>
            </a:graphic>
          </wp:inline>
        </w:drawing>
      </w:r>
    </w:p>
    <w:p>
      <w:pPr>
        <w:spacing w:before="60" w:after="160"/>
        <w:jc w:val="both"/>
      </w:pPr>
      <w:r>
        <w:rPr>
          <w:rFonts w:ascii="Times New Roman" w:hAnsi="Times New Roman" w:eastAsia="Times New Roman"/>
          <w:sz w:val="16"/>
        </w:rPr>
        <w:t xml:space="preserve">Fig. 7. </w:t>
      </w:r>
      <w:r>
        <w:rPr>
          <w:rFonts w:ascii="Times New Roman" w:hAnsi="Times New Roman" w:eastAsia="Times New Roman"/>
          <w:sz w:val="16"/>
        </w:rPr>
        <w:t>Tasa de riesgo (%) por estrato y naturaleza del colegio.</w:t>
      </w:r>
    </w:p>
    <w:p>
      <w:pPr>
        <w:ind w:firstLine="204"/>
        <w:jc w:val="both"/>
      </w:pPr>
      <w:r>
        <w:rPr>
          <w:rFonts w:ascii="Times New Roman" w:hAnsi="Times New Roman" w:eastAsia="Times New Roman"/>
          <w:sz w:val="20"/>
        </w:rPr>
        <w:t>El riesgo por estrato no es monótono (Fig. 7). En los colegios no oficiales baja con el estrato (46 % → 12 %), pero en los oficiales sube en los estratos 4–6 (40–64 %). Se verificó que no lo explican las jornadas de adultos ni la edad, por lo que se atribuye a errores de autorreporte. El estrato se usará junto con variables más confiables y no de forma aislada.</w:t>
      </w:r>
    </w:p>
    <w:p>
      <w:pPr>
        <w:keepNext/>
        <w:spacing w:before="80" w:after="40"/>
      </w:pPr>
      <w:r>
        <w:rPr>
          <w:rFonts w:ascii="Times New Roman" w:hAnsi="Times New Roman" w:eastAsia="Times New Roman"/>
          <w:i/>
          <w:sz w:val="20"/>
        </w:rPr>
        <w:t>F. Selección preliminar de variables</w:t>
      </w:r>
    </w:p>
    <w:p>
      <w:pPr>
        <w:keepNext/>
        <w:spacing w:before="120"/>
        <w:jc w:val="center"/>
      </w:pPr>
      <w:r>
        <w:drawing>
          <wp:inline xmlns:a="http://schemas.openxmlformats.org/drawingml/2006/main" xmlns:pic="http://schemas.openxmlformats.org/drawingml/2006/picture">
            <wp:extent cx="3024000" cy="1939689"/>
            <wp:docPr id="8" name="Picture 8"/>
            <wp:cNvGraphicFramePr>
              <a:graphicFrameLocks noChangeAspect="1"/>
            </wp:cNvGraphicFramePr>
            <a:graphic>
              <a:graphicData uri="http://schemas.openxmlformats.org/drawingml/2006/picture">
                <pic:pic>
                  <pic:nvPicPr>
                    <pic:cNvPr id="0" name="14_eta2.png"/>
                    <pic:cNvPicPr/>
                  </pic:nvPicPr>
                  <pic:blipFill>
                    <a:blip r:embed="rId16"/>
                    <a:stretch>
                      <a:fillRect/>
                    </a:stretch>
                  </pic:blipFill>
                  <pic:spPr>
                    <a:xfrm>
                      <a:off x="0" y="0"/>
                      <a:ext cx="3024000" cy="1939689"/>
                    </a:xfrm>
                    <a:prstGeom prst="rect"/>
                  </pic:spPr>
                </pic:pic>
              </a:graphicData>
            </a:graphic>
          </wp:inline>
        </w:drawing>
      </w:r>
    </w:p>
    <w:p>
      <w:pPr>
        <w:spacing w:before="60" w:after="160"/>
        <w:jc w:val="both"/>
      </w:pPr>
      <w:r>
        <w:rPr>
          <w:rFonts w:ascii="Times New Roman" w:hAnsi="Times New Roman" w:eastAsia="Times New Roman"/>
          <w:sz w:val="16"/>
        </w:rPr>
        <w:t xml:space="preserve">Fig. 8. </w:t>
      </w:r>
      <w:r>
        <w:rPr>
          <w:rFonts w:ascii="Times New Roman" w:hAnsi="Times New Roman" w:eastAsia="Times New Roman"/>
          <w:sz w:val="16"/>
        </w:rPr>
        <w:t>Proporción de la varianza del puntaje global explicada por cada variable (η²).</w:t>
      </w:r>
    </w:p>
    <w:p>
      <w:pPr>
        <w:ind w:firstLine="204"/>
        <w:jc w:val="both"/>
      </w:pPr>
      <w:r>
        <w:rPr>
          <w:rFonts w:ascii="Times New Roman" w:hAnsi="Times New Roman" w:eastAsia="Times New Roman"/>
          <w:sz w:val="20"/>
        </w:rPr>
        <w:t>Las variables con más poder explicativo (Fig. 8) son la educación de los padres, la jornada, el acceso a computador e internet, el departamento y la naturaleza del colegio, que serán el núcleo del modelo. Género, calendario, bilingüismo y carácter aportan poco. Al combinar variables débilmente correlacionadas se espera superar el η² individual, lo que justifica un modelo multivariado: regresión logística como línea base y gradient boosting [4], con explicaciones SHAP [3].</w:t>
      </w:r>
    </w:p>
    <w:p>
      <w:pPr>
        <w:keepNext/>
        <w:spacing w:before="160" w:after="80"/>
        <w:jc w:val="center"/>
      </w:pPr>
      <w:r>
        <w:rPr>
          <w:rFonts w:ascii="Times New Roman" w:hAnsi="Times New Roman" w:eastAsia="Times New Roman"/>
          <w:smallCaps/>
          <w:sz w:val="20"/>
        </w:rPr>
        <w:t>V. Maqueta del prototipo</w:t>
      </w:r>
    </w:p>
    <w:p>
      <w:pPr>
        <w:ind w:firstLine="204"/>
        <w:jc w:val="both"/>
      </w:pPr>
      <w:r>
        <w:rPr>
          <w:rFonts w:ascii="Times New Roman" w:hAnsi="Times New Roman" w:eastAsia="Times New Roman"/>
          <w:sz w:val="20"/>
        </w:rPr>
        <w:t>El tablero tiene tres pestañas. «Diagnóstico territorial» responde dónde y a quién intervenir con datos descriptivos. «Predicción de riesgo» consume el modelo a través de la API. «Priorización de colegios» permite cargar un listado por lotes y exportar la lista priorizada. Las cifras de la maqueta son reales (EDA); solo los valores del modelo (probabilidad y contribuciones SHAP) son ilustrativos.</w:t>
      </w:r>
    </w:p>
    <w:p>
      <w:pPr>
        <w:ind w:firstLine="204"/>
        <w:jc w:val="both"/>
      </w:pPr>
      <w:r>
        <w:rPr>
          <w:rFonts w:ascii="Times New Roman" w:hAnsi="Times New Roman" w:eastAsia="Times New Roman"/>
          <w:i/>
          <w:sz w:val="20"/>
        </w:rPr>
        <w:t xml:space="preserve">Iteración según los datos. </w:t>
      </w:r>
      <w:r>
        <w:rPr>
          <w:rFonts w:ascii="Times New Roman" w:hAnsi="Times New Roman" w:eastAsia="Times New Roman"/>
          <w:sz w:val="20"/>
        </w:rPr>
        <w:t>La versión inicial (Semana 2) se ajustó con el EDA en cuatro puntos: (a) se agregó el filtro de jornada por su alto poder explicativo; (b) el formulario excluye los puntajes por área para evitar fuga de información; (c) se añadió el nivel municipal, porque el riesgo se concentra por debajo del nivel departamental; (d) se incluyó la matriz estrato × naturaleza para hacer visible la inconsistencia del estrato.</w:t>
      </w:r>
    </w:p>
    <w:p>
      <w:pPr>
        <w:sectPr>
          <w:type w:val="continuous"/>
          <w:pgSz w:w="12240" w:h="15840"/>
          <w:pgMar w:top="1080" w:right="900" w:bottom="1440" w:left="900" w:header="720" w:footer="720" w:gutter="0"/>
          <w:cols w:space="363" w:num="2"/>
          <w:docGrid w:linePitch="360"/>
        </w:sectPr>
      </w:pPr>
    </w:p>
    <w:p>
      <w:pPr>
        <w:keepNext/>
        <w:spacing w:before="120"/>
        <w:jc w:val="center"/>
      </w:pPr>
      <w:r>
        <w:drawing>
          <wp:inline xmlns:a="http://schemas.openxmlformats.org/drawingml/2006/main" xmlns:pic="http://schemas.openxmlformats.org/drawingml/2006/picture">
            <wp:extent cx="6300000" cy="5114006"/>
            <wp:docPr id="9" name="Picture 9"/>
            <wp:cNvGraphicFramePr>
              <a:graphicFrameLocks noChangeAspect="1"/>
            </wp:cNvGraphicFramePr>
            <a:graphic>
              <a:graphicData uri="http://schemas.openxmlformats.org/drawingml/2006/picture">
                <pic:pic>
                  <pic:nvPicPr>
                    <pic:cNvPr id="0" name="mockup_diagnostico.png"/>
                    <pic:cNvPicPr/>
                  </pic:nvPicPr>
                  <pic:blipFill>
                    <a:blip r:embed="rId17"/>
                    <a:stretch>
                      <a:fillRect/>
                    </a:stretch>
                  </pic:blipFill>
                  <pic:spPr>
                    <a:xfrm>
                      <a:off x="0" y="0"/>
                      <a:ext cx="6300000" cy="5114006"/>
                    </a:xfrm>
                    <a:prstGeom prst="rect"/>
                  </pic:spPr>
                </pic:pic>
              </a:graphicData>
            </a:graphic>
          </wp:inline>
        </w:drawing>
      </w:r>
    </w:p>
    <w:p>
      <w:pPr>
        <w:spacing w:before="60" w:after="160"/>
        <w:jc w:val="center"/>
      </w:pPr>
      <w:r>
        <w:rPr>
          <w:rFonts w:ascii="Times New Roman" w:hAnsi="Times New Roman" w:eastAsia="Times New Roman"/>
          <w:sz w:val="16"/>
        </w:rPr>
        <w:t xml:space="preserve">Fig. 9. </w:t>
      </w:r>
      <w:r>
        <w:rPr>
          <w:rFonts w:ascii="Times New Roman" w:hAnsi="Times New Roman" w:eastAsia="Times New Roman"/>
          <w:sz w:val="16"/>
        </w:rPr>
        <w:t>Vista 1, diagnóstico territorial: filtros (1), KPIs (2), riesgo por departamento (3), factores asociados (4), municipios prioritarios (5) e interacción estrato × naturaleza (6).</w:t>
      </w:r>
    </w:p>
    <w:p>
      <w:pPr>
        <w:keepNext/>
        <w:spacing w:before="120"/>
        <w:jc w:val="center"/>
      </w:pPr>
      <w:r>
        <w:drawing>
          <wp:inline xmlns:a="http://schemas.openxmlformats.org/drawingml/2006/main" xmlns:pic="http://schemas.openxmlformats.org/drawingml/2006/picture">
            <wp:extent cx="6300000" cy="4611145"/>
            <wp:docPr id="10" name="Picture 10"/>
            <wp:cNvGraphicFramePr>
              <a:graphicFrameLocks noChangeAspect="1"/>
            </wp:cNvGraphicFramePr>
            <a:graphic>
              <a:graphicData uri="http://schemas.openxmlformats.org/drawingml/2006/picture">
                <pic:pic>
                  <pic:nvPicPr>
                    <pic:cNvPr id="0" name="mockup_prediccion.png"/>
                    <pic:cNvPicPr/>
                  </pic:nvPicPr>
                  <pic:blipFill>
                    <a:blip r:embed="rId18"/>
                    <a:stretch>
                      <a:fillRect/>
                    </a:stretch>
                  </pic:blipFill>
                  <pic:spPr>
                    <a:xfrm>
                      <a:off x="0" y="0"/>
                      <a:ext cx="6300000" cy="4611145"/>
                    </a:xfrm>
                    <a:prstGeom prst="rect"/>
                  </pic:spPr>
                </pic:pic>
              </a:graphicData>
            </a:graphic>
          </wp:inline>
        </w:drawing>
      </w:r>
    </w:p>
    <w:p>
      <w:pPr>
        <w:spacing w:before="60" w:after="160"/>
        <w:jc w:val="center"/>
      </w:pPr>
      <w:r>
        <w:rPr>
          <w:rFonts w:ascii="Times New Roman" w:hAnsi="Times New Roman" w:eastAsia="Times New Roman"/>
          <w:sz w:val="16"/>
        </w:rPr>
        <w:t xml:space="preserve">Fig. 10. </w:t>
      </w:r>
      <w:r>
        <w:rPr>
          <w:rFonts w:ascii="Times New Roman" w:hAnsi="Times New Roman" w:eastAsia="Times New Roman"/>
          <w:sz w:val="16"/>
        </w:rPr>
        <w:t>Vista 2, predicción: perfil del estudiante (7), probabilidad de riesgo y puntaje estimado (8), factores explicativos (9), contrato de la API (10) y predicción por lotes (11).</w:t>
      </w:r>
    </w:p>
    <w:p>
      <w:pPr>
        <w:sectPr>
          <w:type w:val="continuous"/>
          <w:pgSz w:w="12240" w:h="15840"/>
          <w:pgMar w:top="1080" w:right="900" w:bottom="1440" w:left="900" w:header="720" w:footer="720" w:gutter="0"/>
          <w:cols w:space="363" w:num="1"/>
          <w:docGrid w:linePitch="360"/>
        </w:sectPr>
      </w:pPr>
    </w:p>
    <w:p>
      <w:pPr>
        <w:keepNext/>
        <w:spacing w:before="160" w:after="80"/>
        <w:jc w:val="center"/>
      </w:pPr>
      <w:r>
        <w:rPr>
          <w:rFonts w:ascii="Times New Roman" w:hAnsi="Times New Roman" w:eastAsia="Times New Roman"/>
          <w:smallCaps/>
          <w:sz w:val="20"/>
        </w:rPr>
        <w:t>VI. Repositorios de código y datos</w:t>
      </w:r>
    </w:p>
    <w:p>
      <w:pPr>
        <w:ind w:firstLine="204"/>
        <w:jc w:val="both"/>
      </w:pPr>
      <w:r>
        <w:rPr>
          <w:rFonts w:ascii="Times New Roman" w:hAnsi="Times New Roman" w:eastAsia="Times New Roman"/>
          <w:sz w:val="20"/>
        </w:rPr>
        <w:t>El código está en GitHub (https://github.com/mateor0408-sys/proyecto-saber11-dsa). Los datos se versionan con DVC [2] en un remoto Amazon S3 (s3://mateorios2002-dvcstore/saber11). Git solo almacena los metadatos (dvc.yaml, dvc.lock y .dvc/config); los archivos de datos (CSV crudo de 292 MB y Parquet limpio de 15 MB) se suben con «dvc push». El pipeline DVC tiene dos etapas, download y clean, y se reproduce con «dvc repro». Cualquier integrante obtiene los datos con «dvc pull». La Tabla II resume la estructura del repositorio.</w:t>
      </w:r>
    </w:p>
    <w:p>
      <w:pPr>
        <w:keepNext/>
        <w:jc w:val="center"/>
      </w:pPr>
      <w:r>
        <w:rPr>
          <w:rFonts w:ascii="Times New Roman" w:hAnsi="Times New Roman" w:eastAsia="Times New Roman"/>
          <w:smallCaps/>
          <w:sz w:val="16"/>
        </w:rPr>
        <w:t>Tabla II</w:t>
      </w:r>
    </w:p>
    <w:p>
      <w:pPr>
        <w:keepNext/>
        <w:jc w:val="center"/>
      </w:pPr>
      <w:r>
        <w:rPr>
          <w:rFonts w:ascii="Times New Roman" w:hAnsi="Times New Roman" w:eastAsia="Times New Roman"/>
          <w:smallCaps/>
          <w:sz w:val="16"/>
        </w:rPr>
        <w:t>Estructura del repositorio</w:t>
      </w:r>
    </w:p>
    <w:tbl>
      <w:tblPr>
        <w:tblStyle w:val="TableGrid"/>
        <w:tblW w:type="auto" w:w="0"/>
        <w:jc w:val="center"/>
        <w:tblLook w:firstColumn="1" w:firstRow="1" w:lastColumn="0" w:lastRow="0" w:noHBand="0" w:noVBand="1" w:val="04A0"/>
      </w:tblPr>
      <w:tblGrid>
        <w:gridCol w:w="5220"/>
        <w:gridCol w:w="5220"/>
      </w:tblGrid>
      <w:tr>
        <w:tc>
          <w:tcPr>
            <w:tcW w:type="dxa" w:w="1928"/>
            <w:shd w:val="clear" w:color="auto" w:fill="E8E8E8"/>
          </w:tcPr>
          <w:p>
            <w:r/>
            <w:r>
              <w:rPr>
                <w:rFonts w:ascii="Times New Roman" w:hAnsi="Times New Roman" w:eastAsia="Times New Roman"/>
                <w:b/>
                <w:sz w:val="16"/>
              </w:rPr>
              <w:t>Ruta</w:t>
            </w:r>
          </w:p>
        </w:tc>
        <w:tc>
          <w:tcPr>
            <w:tcW w:type="dxa" w:w="2835"/>
            <w:shd w:val="clear" w:color="auto" w:fill="E8E8E8"/>
          </w:tcPr>
          <w:p>
            <w:r/>
            <w:r>
              <w:rPr>
                <w:rFonts w:ascii="Times New Roman" w:hAnsi="Times New Roman" w:eastAsia="Times New Roman"/>
                <w:b/>
                <w:sz w:val="16"/>
              </w:rPr>
              <w:t>Contenido</w:t>
            </w:r>
          </w:p>
        </w:tc>
      </w:tr>
      <w:tr>
        <w:tc>
          <w:tcPr>
            <w:tcW w:type="dxa" w:w="1928"/>
          </w:tcPr>
          <w:p>
            <w:r/>
            <w:r>
              <w:rPr>
                <w:rFonts w:ascii="Times New Roman" w:hAnsi="Times New Roman" w:eastAsia="Times New Roman"/>
                <w:sz w:val="16"/>
              </w:rPr>
              <w:t>src/download_data.py</w:t>
            </w:r>
          </w:p>
        </w:tc>
        <w:tc>
          <w:tcPr>
            <w:tcW w:type="dxa" w:w="2835"/>
          </w:tcPr>
          <w:p>
            <w:r/>
            <w:r>
              <w:rPr>
                <w:rFonts w:ascii="Times New Roman" w:hAnsi="Times New Roman" w:eastAsia="Times New Roman"/>
                <w:sz w:val="16"/>
              </w:rPr>
              <w:t>Descarga paginada desde la API Socrata</w:t>
            </w:r>
          </w:p>
        </w:tc>
      </w:tr>
      <w:tr>
        <w:tc>
          <w:tcPr>
            <w:tcW w:type="dxa" w:w="1928"/>
          </w:tcPr>
          <w:p>
            <w:r/>
            <w:r>
              <w:rPr>
                <w:rFonts w:ascii="Times New Roman" w:hAnsi="Times New Roman" w:eastAsia="Times New Roman"/>
                <w:sz w:val="16"/>
              </w:rPr>
              <w:t>src/clean_data.py</w:t>
            </w:r>
          </w:p>
        </w:tc>
        <w:tc>
          <w:tcPr>
            <w:tcW w:type="dxa" w:w="2835"/>
          </w:tcPr>
          <w:p>
            <w:r/>
            <w:r>
              <w:rPr>
                <w:rFonts w:ascii="Times New Roman" w:hAnsi="Times New Roman" w:eastAsia="Times New Roman"/>
                <w:sz w:val="16"/>
              </w:rPr>
              <w:t>Deduplicación, tipos, edad y variable objetivo</w:t>
            </w:r>
          </w:p>
        </w:tc>
      </w:tr>
      <w:tr>
        <w:tc>
          <w:tcPr>
            <w:tcW w:type="dxa" w:w="1928"/>
          </w:tcPr>
          <w:p>
            <w:r/>
            <w:r>
              <w:rPr>
                <w:rFonts w:ascii="Times New Roman" w:hAnsi="Times New Roman" w:eastAsia="Times New Roman"/>
                <w:sz w:val="16"/>
              </w:rPr>
              <w:t>dvc.yaml / dvc.lock</w:t>
            </w:r>
          </w:p>
        </w:tc>
        <w:tc>
          <w:tcPr>
            <w:tcW w:type="dxa" w:w="2835"/>
          </w:tcPr>
          <w:p>
            <w:r/>
            <w:r>
              <w:rPr>
                <w:rFonts w:ascii="Times New Roman" w:hAnsi="Times New Roman" w:eastAsia="Times New Roman"/>
                <w:sz w:val="16"/>
              </w:rPr>
              <w:t>Pipeline download → clean y hashes de datos</w:t>
            </w:r>
          </w:p>
        </w:tc>
      </w:tr>
      <w:tr>
        <w:tc>
          <w:tcPr>
            <w:tcW w:type="dxa" w:w="1928"/>
          </w:tcPr>
          <w:p>
            <w:r/>
            <w:r>
              <w:rPr>
                <w:rFonts w:ascii="Times New Roman" w:hAnsi="Times New Roman" w:eastAsia="Times New Roman"/>
                <w:sz w:val="16"/>
              </w:rPr>
              <w:t>notebooks/01_eda.ipynb</w:t>
            </w:r>
          </w:p>
        </w:tc>
        <w:tc>
          <w:tcPr>
            <w:tcW w:type="dxa" w:w="2835"/>
          </w:tcPr>
          <w:p>
            <w:r/>
            <w:r>
              <w:rPr>
                <w:rFonts w:ascii="Times New Roman" w:hAnsi="Times New Roman" w:eastAsia="Times New Roman"/>
                <w:sz w:val="16"/>
              </w:rPr>
              <w:t>Exploración de datos (14 figuras)</w:t>
            </w:r>
          </w:p>
        </w:tc>
      </w:tr>
      <w:tr>
        <w:tc>
          <w:tcPr>
            <w:tcW w:type="dxa" w:w="1928"/>
          </w:tcPr>
          <w:p>
            <w:r/>
            <w:r>
              <w:rPr>
                <w:rFonts w:ascii="Times New Roman" w:hAnsi="Times New Roman" w:eastAsia="Times New Roman"/>
                <w:sz w:val="16"/>
              </w:rPr>
              <w:t>mockup/</w:t>
            </w:r>
          </w:p>
        </w:tc>
        <w:tc>
          <w:tcPr>
            <w:tcW w:type="dxa" w:w="2835"/>
          </w:tcPr>
          <w:p>
            <w:r/>
            <w:r>
              <w:rPr>
                <w:rFonts w:ascii="Times New Roman" w:hAnsi="Times New Roman" w:eastAsia="Times New Roman"/>
                <w:sz w:val="16"/>
              </w:rPr>
              <w:t>Maqueta HTML del tablero y capturas</w:t>
            </w:r>
          </w:p>
        </w:tc>
      </w:tr>
      <w:tr>
        <w:tc>
          <w:tcPr>
            <w:tcW w:type="dxa" w:w="1928"/>
          </w:tcPr>
          <w:p>
            <w:r/>
            <w:r>
              <w:rPr>
                <w:rFonts w:ascii="Times New Roman" w:hAnsi="Times New Roman" w:eastAsia="Times New Roman"/>
                <w:sz w:val="16"/>
              </w:rPr>
              <w:t>docs/</w:t>
            </w:r>
          </w:p>
        </w:tc>
        <w:tc>
          <w:tcPr>
            <w:tcW w:type="dxa" w:w="2835"/>
          </w:tcPr>
          <w:p>
            <w:r/>
            <w:r>
              <w:rPr>
                <w:rFonts w:ascii="Times New Roman" w:hAnsi="Times New Roman" w:eastAsia="Times New Roman"/>
                <w:sz w:val="16"/>
              </w:rPr>
              <w:t>Reportes y script generador</w:t>
            </w:r>
          </w:p>
        </w:tc>
      </w:tr>
    </w:tbl>
    <w:p>
      <w:pPr>
        <w:spacing w:after="80"/>
      </w:pPr>
    </w:p>
    <w:p>
      <w:pPr>
        <w:ind w:firstLine="204"/>
        <w:jc w:val="both"/>
      </w:pPr>
      <w:r>
        <w:rPr>
          <w:rFonts w:ascii="Times New Roman" w:hAnsi="Times New Roman" w:eastAsia="Times New Roman"/>
          <w:sz w:val="20"/>
        </w:rPr>
        <w:t>Las Figs. 11–13 evidencian el uso de ambos repositorios: los commits del proyecto, el almacenamiento de los datos en S3 y la sincronización entre la caché local y el remoto.</w:t>
      </w:r>
    </w:p>
    <w:p>
      <w:pPr>
        <w:sectPr>
          <w:type w:val="continuous"/>
          <w:pgSz w:w="12240" w:h="15840"/>
          <w:pgMar w:top="1080" w:right="900" w:bottom="1440" w:left="900" w:header="720" w:footer="720" w:gutter="0"/>
          <w:cols w:space="363" w:num="2"/>
          <w:docGrid w:linePitch="360"/>
        </w:sectPr>
      </w:pPr>
    </w:p>
    <w:tbl>
      <w:tblPr>
        <w:tblW w:type="auto" w:w="0"/>
        <w:jc w:val="center"/>
        <w:tblLook w:firstColumn="1" w:firstRow="1" w:lastColumn="0" w:lastRow="0" w:noHBand="0" w:noVBand="1" w:val="04A0"/>
      </w:tblPr>
      <w:tblGrid>
        <w:gridCol w:w="5220"/>
        <w:gridCol w:w="5220"/>
      </w:tblGrid>
      <w:tr>
        <w:tc>
          <w:tcPr>
            <w:tcW w:type="dxa" w:w="4961"/>
          </w:tcPr>
          <w:p>
            <w:pPr>
              <w:jc w:val="center"/>
            </w:pPr>
            <w:r>
              <w:drawing>
                <wp:inline xmlns:a="http://schemas.openxmlformats.org/drawingml/2006/main" xmlns:pic="http://schemas.openxmlformats.org/drawingml/2006/picture">
                  <wp:extent cx="3024000" cy="1532100"/>
                  <wp:docPr id="11" name="Picture 11"/>
                  <wp:cNvGraphicFramePr>
                    <a:graphicFrameLocks noChangeAspect="1"/>
                  </wp:cNvGraphicFramePr>
                  <a:graphic>
                    <a:graphicData uri="http://schemas.openxmlformats.org/drawingml/2006/picture">
                      <pic:pic>
                        <pic:nvPicPr>
                          <pic:cNvPr id="0" name="github_commits.png"/>
                          <pic:cNvPicPr/>
                        </pic:nvPicPr>
                        <pic:blipFill>
                          <a:blip r:embed="rId19"/>
                          <a:stretch>
                            <a:fillRect/>
                          </a:stretch>
                        </pic:blipFill>
                        <pic:spPr>
                          <a:xfrm>
                            <a:off x="0" y="0"/>
                            <a:ext cx="3024000" cy="1532100"/>
                          </a:xfrm>
                          <a:prstGeom prst="rect"/>
                        </pic:spPr>
                      </pic:pic>
                    </a:graphicData>
                  </a:graphic>
                </wp:inline>
              </w:drawing>
            </w:r>
          </w:p>
        </w:tc>
        <w:tc>
          <w:tcPr>
            <w:tcW w:type="dxa" w:w="4961"/>
          </w:tcPr>
          <w:p>
            <w:pPr>
              <w:jc w:val="center"/>
            </w:pPr>
            <w:r>
              <w:drawing>
                <wp:inline xmlns:a="http://schemas.openxmlformats.org/drawingml/2006/main" xmlns:pic="http://schemas.openxmlformats.org/drawingml/2006/picture">
                  <wp:extent cx="3024000" cy="1539904"/>
                  <wp:docPr id="12" name="Picture 12"/>
                  <wp:cNvGraphicFramePr>
                    <a:graphicFrameLocks noChangeAspect="1"/>
                  </wp:cNvGraphicFramePr>
                  <a:graphic>
                    <a:graphicData uri="http://schemas.openxmlformats.org/drawingml/2006/picture">
                      <pic:pic>
                        <pic:nvPicPr>
                          <pic:cNvPr id="0" name="s3_bucket.png"/>
                          <pic:cNvPicPr/>
                        </pic:nvPicPr>
                        <pic:blipFill>
                          <a:blip r:embed="rId20"/>
                          <a:stretch>
                            <a:fillRect/>
                          </a:stretch>
                        </pic:blipFill>
                        <pic:spPr>
                          <a:xfrm>
                            <a:off x="0" y="0"/>
                            <a:ext cx="3024000" cy="1539904"/>
                          </a:xfrm>
                          <a:prstGeom prst="rect"/>
                        </pic:spPr>
                      </pic:pic>
                    </a:graphicData>
                  </a:graphic>
                </wp:inline>
              </w:drawing>
            </w:r>
          </w:p>
        </w:tc>
      </w:tr>
      <w:tr>
        <w:tc>
          <w:tcPr>
            <w:tcW w:type="dxa" w:w="4961"/>
          </w:tcPr>
          <w:p>
            <w:pPr>
              <w:spacing w:before="60"/>
              <w:jc w:val="center"/>
            </w:pPr>
            <w:r>
              <w:rPr>
                <w:rFonts w:ascii="Times New Roman" w:hAnsi="Times New Roman" w:eastAsia="Times New Roman"/>
                <w:sz w:val="16"/>
              </w:rPr>
              <w:t xml:space="preserve">Fig. 11. </w:t>
            </w:r>
            <w:r>
              <w:rPr>
                <w:rFonts w:ascii="Times New Roman" w:hAnsi="Times New Roman" w:eastAsia="Times New Roman"/>
                <w:sz w:val="16"/>
              </w:rPr>
              <w:t>Historial de commits en GitHub (rama main).</w:t>
            </w:r>
          </w:p>
        </w:tc>
        <w:tc>
          <w:tcPr>
            <w:tcW w:type="dxa" w:w="4961"/>
          </w:tcPr>
          <w:p>
            <w:pPr>
              <w:spacing w:before="60"/>
              <w:jc w:val="center"/>
            </w:pPr>
            <w:r>
              <w:rPr>
                <w:rFonts w:ascii="Times New Roman" w:hAnsi="Times New Roman" w:eastAsia="Times New Roman"/>
                <w:sz w:val="16"/>
              </w:rPr>
              <w:t xml:space="preserve">Fig. 12. </w:t>
            </w:r>
            <w:r>
              <w:rPr>
                <w:rFonts w:ascii="Times New Roman" w:hAnsi="Times New Roman" w:eastAsia="Times New Roman"/>
                <w:sz w:val="16"/>
              </w:rPr>
              <w:t>Remoto DVC en Amazon S3: bucket mateorios2002-dvcstore, prefijo saber11/.</w:t>
            </w:r>
          </w:p>
        </w:tc>
      </w:tr>
    </w:tbl>
    <w:p>
      <w:pPr>
        <w:spacing w:after="80"/>
      </w:pPr>
    </w:p>
    <w:p>
      <w:pPr>
        <w:keepNext/>
        <w:spacing w:before="120"/>
        <w:jc w:val="center"/>
      </w:pPr>
      <w:r>
        <w:drawing>
          <wp:inline xmlns:a="http://schemas.openxmlformats.org/drawingml/2006/main" xmlns:pic="http://schemas.openxmlformats.org/drawingml/2006/picture">
            <wp:extent cx="6300000" cy="776486"/>
            <wp:docPr id="13" name="Picture 13"/>
            <wp:cNvGraphicFramePr>
              <a:graphicFrameLocks noChangeAspect="1"/>
            </wp:cNvGraphicFramePr>
            <a:graphic>
              <a:graphicData uri="http://schemas.openxmlformats.org/drawingml/2006/picture">
                <pic:pic>
                  <pic:nvPicPr>
                    <pic:cNvPr id="0" name="dvc_push_status.png"/>
                    <pic:cNvPicPr/>
                  </pic:nvPicPr>
                  <pic:blipFill>
                    <a:blip r:embed="rId21"/>
                    <a:stretch>
                      <a:fillRect/>
                    </a:stretch>
                  </pic:blipFill>
                  <pic:spPr>
                    <a:xfrm>
                      <a:off x="0" y="0"/>
                      <a:ext cx="6300000" cy="776486"/>
                    </a:xfrm>
                    <a:prstGeom prst="rect"/>
                  </pic:spPr>
                </pic:pic>
              </a:graphicData>
            </a:graphic>
          </wp:inline>
        </w:drawing>
      </w:r>
    </w:p>
    <w:p>
      <w:pPr>
        <w:spacing w:before="60" w:after="160"/>
        <w:jc w:val="center"/>
      </w:pPr>
      <w:r>
        <w:rPr>
          <w:rFonts w:ascii="Times New Roman" w:hAnsi="Times New Roman" w:eastAsia="Times New Roman"/>
          <w:sz w:val="16"/>
        </w:rPr>
        <w:t xml:space="preserve">Fig. 13. </w:t>
      </w:r>
      <w:r>
        <w:rPr>
          <w:rFonts w:ascii="Times New Roman" w:hAnsi="Times New Roman" w:eastAsia="Times New Roman"/>
          <w:sz w:val="16"/>
        </w:rPr>
        <w:t>Sincronización de los datos con el remoto: «dvc push» y «dvc status -c».</w:t>
      </w:r>
    </w:p>
    <w:p>
      <w:pPr>
        <w:sectPr>
          <w:type w:val="continuous"/>
          <w:pgSz w:w="12240" w:h="15840"/>
          <w:pgMar w:top="1080" w:right="900" w:bottom="1440" w:left="900" w:header="720" w:footer="720" w:gutter="0"/>
          <w:cols w:space="363" w:num="1"/>
          <w:docGrid w:linePitch="360"/>
        </w:sectPr>
      </w:pPr>
    </w:p>
    <w:p>
      <w:pPr>
        <w:keepNext/>
        <w:spacing w:before="160" w:after="80"/>
        <w:jc w:val="center"/>
      </w:pPr>
      <w:r>
        <w:rPr>
          <w:rFonts w:ascii="Times New Roman" w:hAnsi="Times New Roman" w:eastAsia="Times New Roman"/>
          <w:smallCaps/>
          <w:sz w:val="20"/>
        </w:rPr>
        <w:t>VII. Conclusiones y trabajo futuro</w:t>
      </w:r>
    </w:p>
    <w:p>
      <w:pPr>
        <w:ind w:firstLine="204"/>
        <w:jc w:val="both"/>
      </w:pPr>
      <w:r>
        <w:rPr>
          <w:rFonts w:ascii="Times New Roman" w:hAnsi="Times New Roman" w:eastAsia="Times New Roman"/>
          <w:sz w:val="20"/>
        </w:rPr>
        <w:t>Los datos abiertos del ICFES permiten responder la pregunta de negocio: el riesgo de bajo desempeño se concentra en perfiles del hogar, del colegio y del territorio identificables antes de la prueba, lo que justifica un modelo predictivo de focalización. Las siguientes entregas abordarán: (1) ampliar los datos a periodos anteriores para validar la estabilidad temporal; (2) entrenar la línea base y gradient boosting con seguimiento de experimentos en MLflow; y (3) construir la API y el tablero, contenerizarlos con Docker y desplegarlos en AWS.</w:t>
      </w:r>
    </w:p>
    <w:p>
      <w:pPr>
        <w:keepNext/>
        <w:spacing w:before="160" w:after="80"/>
        <w:jc w:val="center"/>
      </w:pPr>
      <w:r>
        <w:rPr>
          <w:rFonts w:ascii="Times New Roman" w:hAnsi="Times New Roman" w:eastAsia="Times New Roman"/>
          <w:smallCaps/>
          <w:sz w:val="20"/>
        </w:rPr>
        <w:t>Referencias</w:t>
      </w:r>
    </w:p>
    <w:p>
      <w:pPr>
        <w:spacing w:after="20"/>
        <w:ind w:left="340" w:hanging="340"/>
        <w:jc w:val="left"/>
      </w:pPr>
      <w:r>
        <w:rPr>
          <w:rFonts w:ascii="Times New Roman" w:hAnsi="Times New Roman" w:eastAsia="Times New Roman"/>
          <w:sz w:val="16"/>
        </w:rPr>
        <w:t>[1]</w:t>
        <w:tab/>
      </w:r>
      <w:r>
        <w:rPr>
          <w:rFonts w:ascii="Times New Roman" w:hAnsi="Times New Roman" w:eastAsia="Times New Roman"/>
          <w:sz w:val="16"/>
        </w:rPr>
        <w:t>ICFES, “Resultados únicos Saber 11,” Datos Abiertos Colombia, 2024. [En línea]. Disponible: https://www.datos.gov.co/Educaci-n/Resultados-nicos-Saber-11/kgxf-xxbe</w:t>
      </w:r>
    </w:p>
    <w:p>
      <w:pPr>
        <w:spacing w:after="20"/>
        <w:ind w:left="340" w:hanging="340"/>
        <w:jc w:val="left"/>
      </w:pPr>
      <w:r>
        <w:rPr>
          <w:rFonts w:ascii="Times New Roman" w:hAnsi="Times New Roman" w:eastAsia="Times New Roman"/>
          <w:sz w:val="16"/>
        </w:rPr>
        <w:t>[2]</w:t>
        <w:tab/>
      </w:r>
      <w:r>
        <w:rPr>
          <w:rFonts w:ascii="Times New Roman" w:hAnsi="Times New Roman" w:eastAsia="Times New Roman"/>
          <w:sz w:val="16"/>
        </w:rPr>
        <w:t>Iterative, “DVC: Data Version Control.” [En línea]. Disponible: https://dvc.org</w:t>
      </w:r>
    </w:p>
    <w:p>
      <w:pPr>
        <w:spacing w:after="20"/>
        <w:ind w:left="340" w:hanging="340"/>
        <w:jc w:val="left"/>
      </w:pPr>
      <w:r>
        <w:rPr>
          <w:rFonts w:ascii="Times New Roman" w:hAnsi="Times New Roman" w:eastAsia="Times New Roman"/>
          <w:sz w:val="16"/>
        </w:rPr>
        <w:t>[3]</w:t>
        <w:tab/>
      </w:r>
      <w:r>
        <w:rPr>
          <w:rFonts w:ascii="Times New Roman" w:hAnsi="Times New Roman" w:eastAsia="Times New Roman"/>
          <w:sz w:val="16"/>
        </w:rPr>
        <w:t>S. M. Lundberg y S.-I. Lee, “A unified approach to interpreting model predictions,” en Proc. 31st Int. Conf. Neural Inf. Process. Syst. (NeurIPS), 2017, pp. 4765–4774.</w:t>
      </w:r>
    </w:p>
    <w:p>
      <w:pPr>
        <w:spacing w:after="20"/>
        <w:ind w:left="340" w:hanging="340"/>
        <w:jc w:val="left"/>
      </w:pPr>
      <w:r>
        <w:rPr>
          <w:rFonts w:ascii="Times New Roman" w:hAnsi="Times New Roman" w:eastAsia="Times New Roman"/>
          <w:sz w:val="16"/>
        </w:rPr>
        <w:t>[4]</w:t>
        <w:tab/>
      </w:r>
      <w:r>
        <w:rPr>
          <w:rFonts w:ascii="Times New Roman" w:hAnsi="Times New Roman" w:eastAsia="Times New Roman"/>
          <w:sz w:val="16"/>
        </w:rPr>
        <w:t>T. Chen y C. Guestrin, “XGBoost: A scalable tree boosting system,” en Proc. 22nd ACM SIGKDD Int. Conf. Knowl. Discov. Data Min., 2016, pp. 785–794.</w:t>
      </w:r>
    </w:p>
    <w:p>
      <w:pPr>
        <w:spacing w:after="20"/>
        <w:ind w:left="340" w:hanging="340"/>
        <w:jc w:val="left"/>
      </w:pPr>
      <w:r>
        <w:rPr>
          <w:rFonts w:ascii="Times New Roman" w:hAnsi="Times New Roman" w:eastAsia="Times New Roman"/>
          <w:sz w:val="16"/>
        </w:rPr>
        <w:t>[5]</w:t>
        <w:tab/>
      </w:r>
      <w:r>
        <w:rPr>
          <w:rFonts w:ascii="Times New Roman" w:hAnsi="Times New Roman" w:eastAsia="Times New Roman"/>
          <w:sz w:val="16"/>
        </w:rPr>
        <w:t>S. Ramírez, “FastAPI.” [En línea]. Disponible: https://fastapi.tiangolo.com</w:t>
      </w:r>
    </w:p>
    <w:p>
      <w:pPr>
        <w:spacing w:after="20"/>
        <w:ind w:left="340" w:hanging="340"/>
        <w:jc w:val="left"/>
      </w:pPr>
      <w:r>
        <w:rPr>
          <w:rFonts w:ascii="Times New Roman" w:hAnsi="Times New Roman" w:eastAsia="Times New Roman"/>
          <w:sz w:val="16"/>
        </w:rPr>
        <w:t>[6]</w:t>
        <w:tab/>
      </w:r>
      <w:r>
        <w:rPr>
          <w:rFonts w:ascii="Times New Roman" w:hAnsi="Times New Roman" w:eastAsia="Times New Roman"/>
          <w:sz w:val="16"/>
        </w:rPr>
        <w:t>Plotly Technologies Inc., “Dash.” [En línea]. Disponible: https://dash.plotly.com</w:t>
      </w:r>
    </w:p>
    <w:p>
      <w:pPr>
        <w:spacing w:after="20"/>
        <w:ind w:left="340" w:hanging="340"/>
        <w:jc w:val="left"/>
      </w:pPr>
      <w:r>
        <w:rPr>
          <w:rFonts w:ascii="Times New Roman" w:hAnsi="Times New Roman" w:eastAsia="Times New Roman"/>
          <w:sz w:val="16"/>
        </w:rPr>
        <w:t>[7]</w:t>
        <w:tab/>
      </w:r>
      <w:r>
        <w:rPr>
          <w:rFonts w:ascii="Times New Roman" w:hAnsi="Times New Roman" w:eastAsia="Times New Roman"/>
          <w:sz w:val="16"/>
        </w:rPr>
        <w:t>D. Merkel, “Docker: Lightweight Linux containers for consistent development and deployment,” Linux J., vol. 2014, no. 239, art. 2, 2014.</w:t>
      </w:r>
    </w:p>
    <w:p>
      <w:pPr>
        <w:sectPr>
          <w:type w:val="continuous"/>
          <w:pgSz w:w="12240" w:h="15840"/>
          <w:pgMar w:top="1080" w:right="900" w:bottom="1440" w:left="900" w:header="720" w:footer="720" w:gutter="0"/>
          <w:cols w:space="363" w:num="2"/>
          <w:docGrid w:linePitch="360"/>
        </w:sectPr>
      </w:pPr>
    </w:p>
    <w:sectPr w:rsidR="00FC693F" w:rsidRPr="0006063C" w:rsidSect="00034616">
      <w:type w:val="continuous"/>
      <w:pgSz w:w="12240" w:h="15840"/>
      <w:pgMar w:top="1080" w:right="900" w:bottom="1440" w:left="900" w:header="720" w:footer="720" w:gutter="0"/>
      <w:cols w:space="36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