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sz w:val="48"/>
        </w:rPr>
        <w:t>Reporte de Trabajo en Equipo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Proyecto Monitor de Riesgo Académico Saber 11 — Entrega 1 · 25 de octubre de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3288"/>
          </w:tcPr>
          <w:p>
            <w:pPr>
              <w:spacing w:before="16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Mateo Ríos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i/>
                <w:sz w:val="18"/>
              </w:rPr>
              <w:t>Maestría en Inteligencia Analítica de Datos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i w:val="0"/>
                <w:sz w:val="18"/>
              </w:rPr>
              <w:t>Universidad de los Andes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i w:val="0"/>
                <w:sz w:val="18"/>
              </w:rPr>
              <w:t>Bogotá, Colombia</w:t>
            </w:r>
          </w:p>
        </w:tc>
        <w:tc>
          <w:tcPr>
            <w:tcW w:type="dxa" w:w="3288"/>
          </w:tcPr>
          <w:p>
            <w:pPr>
              <w:spacing w:before="16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Harol Perafan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i/>
                <w:sz w:val="18"/>
              </w:rPr>
              <w:t>Maestría en Inteligencia Analítica de Datos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i w:val="0"/>
                <w:sz w:val="18"/>
              </w:rPr>
              <w:t>Universidad de los Andes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i w:val="0"/>
                <w:sz w:val="18"/>
              </w:rPr>
              <w:t>Bogotá, Colombia</w:t>
            </w:r>
          </w:p>
        </w:tc>
        <w:tc>
          <w:tcPr>
            <w:tcW w:type="dxa" w:w="3288"/>
          </w:tcPr>
          <w:p>
            <w:pPr>
              <w:spacing w:before="16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Sebastian Vivas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i/>
                <w:sz w:val="18"/>
              </w:rPr>
              <w:t>Maestría en Inteligencia Analítica de Datos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i w:val="0"/>
                <w:sz w:val="18"/>
              </w:rPr>
              <w:t>Universidad de los Andes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i w:val="0"/>
                <w:sz w:val="18"/>
              </w:rPr>
              <w:t>Bogotá, Colombia</w:t>
            </w:r>
          </w:p>
        </w:tc>
      </w:tr>
    </w:tbl>
    <w:p>
      <w:pPr>
        <w:spacing w:after="120"/>
      </w:pPr>
    </w:p>
    <w:p>
      <w:pPr>
        <w:ind w:firstLine="204"/>
        <w:jc w:val="both"/>
      </w:pPr>
      <w:r>
        <w:rPr>
          <w:rFonts w:ascii="Times New Roman" w:hAnsi="Times New Roman" w:eastAsia="Times New Roman"/>
          <w:sz w:val="20"/>
        </w:rPr>
        <w:t>El equipo definió los ítems de trabajo en la Semana 2, los repartió por afinidad y fijó revisiones internas antes de la entrega. Cada integrante sube su trabajo al repositorio con commits propios, de modo que el historial de GitHub (https://github.com/mateor0408-sys/proyecto-saber11-dsa) respalda la distribución de la Tabla I.</w:t>
      </w:r>
    </w:p>
    <w:p>
      <w:pPr>
        <w:keepNext/>
        <w:jc w:val="center"/>
      </w:pPr>
      <w:r>
        <w:rPr>
          <w:rFonts w:ascii="Times New Roman" w:hAnsi="Times New Roman" w:eastAsia="Times New Roman"/>
          <w:smallCaps/>
          <w:sz w:val="16"/>
        </w:rPr>
        <w:t>Tabla I</w:t>
      </w:r>
    </w:p>
    <w:p>
      <w:pPr>
        <w:keepNext/>
        <w:jc w:val="center"/>
      </w:pPr>
      <w:r>
        <w:rPr>
          <w:rFonts w:ascii="Times New Roman" w:hAnsi="Times New Roman" w:eastAsia="Times New Roman"/>
          <w:smallCaps/>
          <w:sz w:val="16"/>
        </w:rPr>
        <w:t>Responsabilidades individuales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1474"/>
            <w:shd w:val="clear" w:color="auto" w:fill="E8E8E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Integrante</w:t>
            </w:r>
          </w:p>
        </w:tc>
        <w:tc>
          <w:tcPr>
            <w:tcW w:type="dxa" w:w="4876"/>
            <w:shd w:val="clear" w:color="auto" w:fill="E8E8E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Responsabilidades</w:t>
            </w:r>
          </w:p>
        </w:tc>
        <w:tc>
          <w:tcPr>
            <w:tcW w:type="dxa" w:w="3402"/>
            <w:shd w:val="clear" w:color="auto" w:fill="E8E8E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Evidencia en el repositorio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Mateo Ríos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Coordinación del equipo y del cronograma. Configuración del repositorio Git y de DVC con remoto S3. Pipeline de datos (descarga desde la API Socrata, limpieza y variable objetivo). Integración y redacción del reporte.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src/download_data.py, src/clean_data.py, dvc.yaml, dvc.lock, .dvc/config, README.md, docs/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Harol Perafan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Exploración de los factores socioeconómicos y del colegio (estrato, educación de los padres, recursos del hogar, naturaleza, zona, jornada). Análisis de la anomalía del estrato. Selección preliminar de variables (η²).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notebooks/01_eda.ipynb (secciones 3, 4 y 6), reports/figures/05–11 y 14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Sebastian Vivas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Calidad de datos y distribución del puntaje. Exploración geográfica (departamentos, municipios y colegios prioritarios). Diseño de la maqueta del tablero y su iteración con los hallazgos del EDA.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Times New Roman"/>
                <w:sz w:val="18"/>
              </w:rPr>
              <w:t>notebooks/01_eda.ipynb (secciones 1, 2 y 5), reports/figures/01–04 y 12–13, mockup/</w:t>
            </w:r>
          </w:p>
        </w:tc>
      </w:tr>
    </w:tbl>
    <w:p>
      <w:pPr>
        <w:spacing w:after="80"/>
      </w:pPr>
    </w:p>
    <w:p>
      <w:pPr>
        <w:keepNext/>
        <w:spacing w:before="160" w:after="80"/>
        <w:jc w:val="center"/>
      </w:pPr>
      <w:r>
        <w:rPr>
          <w:rFonts w:ascii="Times New Roman" w:hAnsi="Times New Roman" w:eastAsia="Times New Roman"/>
          <w:smallCaps/>
          <w:sz w:val="20"/>
        </w:rPr>
        <w:t>Actividades conjuntas</w:t>
      </w:r>
    </w:p>
    <w:p>
      <w:pPr>
        <w:ind w:left="283" w:hanging="170"/>
        <w:jc w:val="both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sz w:val="20"/>
        </w:rPr>
        <w:t>Selección del problema y de la pregunta de negocio entre las alternativas exploradas en la Semana 1.</w:t>
      </w:r>
    </w:p>
    <w:p>
      <w:pPr>
        <w:ind w:left="283" w:hanging="170"/>
        <w:jc w:val="both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sz w:val="20"/>
        </w:rPr>
        <w:t>Discusión de los hallazgos del EDA y de su impacto en el alcance, el modelo y la maqueta.</w:t>
      </w:r>
    </w:p>
    <w:p>
      <w:pPr>
        <w:ind w:left="283" w:hanging="170"/>
        <w:jc w:val="both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sz w:val="20"/>
        </w:rPr>
        <w:t>Revisión cruzada del reporte final antes de la entrega.</w:t>
      </w:r>
    </w:p>
    <w:p>
      <w:pPr>
        <w:keepNext/>
        <w:spacing w:before="160" w:after="80"/>
        <w:jc w:val="center"/>
      </w:pPr>
      <w:r>
        <w:rPr>
          <w:rFonts w:ascii="Times New Roman" w:hAnsi="Times New Roman" w:eastAsia="Times New Roman"/>
          <w:smallCaps/>
          <w:sz w:val="20"/>
        </w:rPr>
        <w:t>Reuniones de seguimiento</w:t>
      </w:r>
    </w:p>
    <w:p>
      <w:pPr>
        <w:jc w:val="both"/>
      </w:pPr>
      <w:r>
        <w:rPr>
          <w:rFonts w:ascii="Times New Roman" w:hAnsi="Times New Roman" w:eastAsia="Times New Roman"/>
          <w:sz w:val="20"/>
        </w:rPr>
        <w:t>El 25 de octubre de 2026 el equipo se reunió para revisar los resultados de la exploración de datos, validar la maqueta del tablero, confirmar la distribución de responsabilidades y aprobar el reporte final de la Entrega 1.</w:t>
      </w:r>
    </w:p>
    <w:sectPr w:rsidR="00FC693F" w:rsidRPr="0006063C" w:rsidSect="00034616">
      <w:pgSz w:w="12240" w:h="15840"/>
      <w:pgMar w:top="1080" w:right="90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