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EF19" w14:textId="28D5E9FD" w:rsidR="002908A9" w:rsidRPr="00BF2679" w:rsidRDefault="00037614" w:rsidP="002908A9">
      <w:pPr>
        <w:jc w:val="both"/>
        <w:rPr>
          <w:b/>
          <w:bCs/>
          <w:u w:val="single"/>
          <w:lang w:val="es-AR"/>
        </w:rPr>
      </w:pPr>
      <w:r w:rsidRPr="00BF2679">
        <w:rPr>
          <w:b/>
          <w:bCs/>
          <w:u w:val="single"/>
          <w:lang w:val="es-AR"/>
        </w:rPr>
        <w:t xml:space="preserve">Renta de la tierra </w:t>
      </w:r>
      <w:bookmarkStart w:id="0" w:name="_Hlk69984767"/>
      <w:r w:rsidRPr="00BF2679">
        <w:rPr>
          <w:b/>
          <w:bCs/>
          <w:u w:val="single"/>
          <w:lang w:val="es-AR"/>
        </w:rPr>
        <w:t>hidrocarburífera</w:t>
      </w:r>
      <w:bookmarkEnd w:id="0"/>
      <w:r w:rsidRPr="00BF2679">
        <w:rPr>
          <w:b/>
          <w:bCs/>
          <w:u w:val="single"/>
          <w:lang w:val="es-AR"/>
        </w:rPr>
        <w:t xml:space="preserve"> en Brasil (199</w:t>
      </w:r>
      <w:r w:rsidR="00C21742" w:rsidRPr="00BF2679">
        <w:rPr>
          <w:b/>
          <w:bCs/>
          <w:u w:val="single"/>
          <w:lang w:val="es-AR"/>
        </w:rPr>
        <w:t>9</w:t>
      </w:r>
      <w:r w:rsidRPr="00BF2679">
        <w:rPr>
          <w:b/>
          <w:bCs/>
          <w:u w:val="single"/>
          <w:lang w:val="es-AR"/>
        </w:rPr>
        <w:t>-201</w:t>
      </w:r>
      <w:r w:rsidR="00525F2F">
        <w:rPr>
          <w:b/>
          <w:bCs/>
          <w:u w:val="single"/>
          <w:lang w:val="es-AR"/>
        </w:rPr>
        <w:t>5</w:t>
      </w:r>
      <w:r w:rsidRPr="00BF2679">
        <w:rPr>
          <w:b/>
          <w:bCs/>
          <w:u w:val="single"/>
          <w:lang w:val="es-AR"/>
        </w:rPr>
        <w:t>): metodología y estimación</w:t>
      </w:r>
      <w:r w:rsidR="00BA68ED">
        <w:rPr>
          <w:b/>
          <w:bCs/>
          <w:u w:val="single"/>
          <w:lang w:val="es-AR"/>
        </w:rPr>
        <w:t xml:space="preserve">. </w:t>
      </w:r>
      <w:r w:rsidR="002908A9" w:rsidRPr="002908A9">
        <w:rPr>
          <w:b/>
          <w:bCs/>
          <w:u w:val="single"/>
          <w:lang w:val="es-AR"/>
        </w:rPr>
        <w:t xml:space="preserve">Informe </w:t>
      </w:r>
      <w:proofErr w:type="spellStart"/>
      <w:r w:rsidR="002908A9" w:rsidRPr="002908A9">
        <w:rPr>
          <w:b/>
          <w:bCs/>
          <w:u w:val="single"/>
          <w:lang w:val="es-AR"/>
        </w:rPr>
        <w:t>técnico</w:t>
      </w:r>
      <w:proofErr w:type="spellEnd"/>
      <w:r w:rsidR="002908A9" w:rsidRPr="002908A9">
        <w:rPr>
          <w:b/>
          <w:bCs/>
          <w:u w:val="single"/>
          <w:lang w:val="es-AR"/>
        </w:rPr>
        <w:t xml:space="preserve">: Proyecto de </w:t>
      </w:r>
      <w:proofErr w:type="spellStart"/>
      <w:r w:rsidR="002908A9" w:rsidRPr="002908A9">
        <w:rPr>
          <w:b/>
          <w:bCs/>
          <w:u w:val="single"/>
          <w:lang w:val="es-AR"/>
        </w:rPr>
        <w:t>Investigación</w:t>
      </w:r>
      <w:proofErr w:type="spellEnd"/>
      <w:r w:rsidR="002908A9" w:rsidRPr="002908A9">
        <w:rPr>
          <w:b/>
          <w:bCs/>
          <w:u w:val="single"/>
          <w:lang w:val="es-AR"/>
        </w:rPr>
        <w:t xml:space="preserve"> Orientada (PIO) CONICET-YPF 13320140100023CO:</w:t>
      </w:r>
      <w:r w:rsidR="002908A9">
        <w:rPr>
          <w:b/>
          <w:bCs/>
          <w:u w:val="single"/>
          <w:lang w:val="es-AR"/>
        </w:rPr>
        <w:t xml:space="preserve"> </w:t>
      </w:r>
      <w:r w:rsidR="002908A9" w:rsidRPr="002908A9">
        <w:rPr>
          <w:b/>
          <w:bCs/>
          <w:u w:val="single"/>
          <w:lang w:val="es-AR"/>
        </w:rPr>
        <w:t xml:space="preserve">"La </w:t>
      </w:r>
      <w:proofErr w:type="spellStart"/>
      <w:r w:rsidR="002908A9" w:rsidRPr="002908A9">
        <w:rPr>
          <w:b/>
          <w:bCs/>
          <w:u w:val="single"/>
          <w:lang w:val="es-AR"/>
        </w:rPr>
        <w:t>apropiación</w:t>
      </w:r>
      <w:proofErr w:type="spellEnd"/>
      <w:r w:rsidR="002908A9" w:rsidRPr="002908A9">
        <w:rPr>
          <w:b/>
          <w:bCs/>
          <w:u w:val="single"/>
          <w:lang w:val="es-AR"/>
        </w:rPr>
        <w:t xml:space="preserve"> de la renta petrolera diferencial por distintos sujetos sociales en Argentina comparado con Venezuela y Brasil (2002 a la actualidad)", Buenos Aires.</w:t>
      </w:r>
    </w:p>
    <w:p w14:paraId="3E9C6BA2" w14:textId="13B51221" w:rsidR="00BA68ED" w:rsidRDefault="00BA68ED" w:rsidP="003D773B">
      <w:pPr>
        <w:jc w:val="both"/>
        <w:rPr>
          <w:lang w:val="es-AR"/>
        </w:rPr>
      </w:pPr>
      <w:r>
        <w:rPr>
          <w:lang w:val="es-AR"/>
        </w:rPr>
        <w:t>Nicolás Grinberg</w:t>
      </w:r>
    </w:p>
    <w:p w14:paraId="24852786" w14:textId="0E4C2FA7" w:rsidR="00BA68ED" w:rsidRDefault="00BA68ED" w:rsidP="003D773B">
      <w:pPr>
        <w:jc w:val="both"/>
        <w:rPr>
          <w:lang w:val="es-AR"/>
        </w:rPr>
      </w:pPr>
      <w:r>
        <w:rPr>
          <w:lang w:val="es-AR"/>
        </w:rPr>
        <w:t>(Conicet/UNSAM)</w:t>
      </w:r>
    </w:p>
    <w:p w14:paraId="71197327" w14:textId="77777777" w:rsidR="00BA68ED" w:rsidRDefault="00BA68ED" w:rsidP="003D773B">
      <w:pPr>
        <w:jc w:val="both"/>
        <w:rPr>
          <w:lang w:val="es-AR"/>
        </w:rPr>
      </w:pPr>
    </w:p>
    <w:p w14:paraId="412C1DF6" w14:textId="3CF3FDDE" w:rsidR="00037614" w:rsidRDefault="00037614" w:rsidP="003D773B">
      <w:pPr>
        <w:jc w:val="both"/>
        <w:rPr>
          <w:lang w:val="es-AR"/>
        </w:rPr>
      </w:pPr>
      <w:r>
        <w:rPr>
          <w:lang w:val="es-AR"/>
        </w:rPr>
        <w:t xml:space="preserve">1) </w:t>
      </w:r>
      <w:r w:rsidR="0088061E">
        <w:rPr>
          <w:lang w:val="es-AR"/>
        </w:rPr>
        <w:t>Alcance y d</w:t>
      </w:r>
      <w:r>
        <w:rPr>
          <w:lang w:val="es-AR"/>
        </w:rPr>
        <w:t>efinici</w:t>
      </w:r>
      <w:r w:rsidR="0088061E">
        <w:rPr>
          <w:lang w:val="es-AR"/>
        </w:rPr>
        <w:t>ones</w:t>
      </w:r>
      <w:r>
        <w:rPr>
          <w:lang w:val="es-AR"/>
        </w:rPr>
        <w:t xml:space="preserve"> </w:t>
      </w:r>
    </w:p>
    <w:p w14:paraId="55927CF1" w14:textId="152672D4" w:rsidR="00BF2679" w:rsidRDefault="00BF2679" w:rsidP="003D773B">
      <w:pPr>
        <w:jc w:val="both"/>
        <w:rPr>
          <w:lang w:val="es-AR"/>
        </w:rPr>
      </w:pPr>
      <w:r>
        <w:rPr>
          <w:lang w:val="es-AR"/>
        </w:rPr>
        <w:t xml:space="preserve">Desde su incorporación al mercado mundial por el capital portugués en el siglo XVI, el territorio Brasileiro se ha constituido un espacio propicio para la producción de mercancías primarias. Las condiciones naturales favorables que imperan en su territorio han significado </w:t>
      </w:r>
      <w:r w:rsidR="00800B84">
        <w:rPr>
          <w:lang w:val="es-AR"/>
        </w:rPr>
        <w:t xml:space="preserve">costos de producción menores de los que regulan los precios internacionales. Si bien estas condiciones de producción favorables empujan hacia abajo los precios de las mercancías primarios, y hacia arriba las ganancias de los capitales que directa o indirectamente las consumen, también resultan en un drenaje de excedentes en forma de renta de la tierra hacia los bolsillos de los dueños de dichas condiciones naturales de producción.  </w:t>
      </w:r>
      <w:r>
        <w:rPr>
          <w:lang w:val="es-AR"/>
        </w:rPr>
        <w:t xml:space="preserve"> </w:t>
      </w:r>
    </w:p>
    <w:p w14:paraId="2AD054BA" w14:textId="78D130BB" w:rsidR="00800B84" w:rsidRDefault="00800B84" w:rsidP="003D773B">
      <w:pPr>
        <w:jc w:val="both"/>
        <w:rPr>
          <w:lang w:val="es-AR"/>
        </w:rPr>
      </w:pPr>
      <w:r>
        <w:rPr>
          <w:lang w:val="es-AR"/>
        </w:rPr>
        <w:t xml:space="preserve">Desde el periodo colonial hasta aproximadamente la década de 1930, el grueso de la renta de la tierra </w:t>
      </w:r>
      <w:r w:rsidR="00146BA5">
        <w:rPr>
          <w:lang w:val="es-AR"/>
        </w:rPr>
        <w:t>brasileira</w:t>
      </w:r>
      <w:r>
        <w:rPr>
          <w:lang w:val="es-AR"/>
        </w:rPr>
        <w:t xml:space="preserve"> fue apropiada por terratenientes agrarios privados, por el capital comercial exportador de materias primas, el capital prestado a interés tanto al estado federal como a los estados regionales, el capital industrial productor de materias primas, y el capital industrial productor de servicios directa o indirectamente ligados a la producción y exportación de materias primas.</w:t>
      </w:r>
      <w:r w:rsidR="00146BA5">
        <w:rPr>
          <w:lang w:val="es-AR"/>
        </w:rPr>
        <w:t xml:space="preserve"> Desde la década de 1930 en adelante</w:t>
      </w:r>
      <w:r w:rsidR="00C915D7">
        <w:rPr>
          <w:lang w:val="es-AR"/>
        </w:rPr>
        <w:t>, capital industrial manufacturero se convirtió en el principal socio de los terratenientes en el negocio de apropiación de la renta de la tierra Brasileira. Las políticas estatales que dieron lugar al llamado proceso de industrialización por sustitución de importaciones han mediado dicho proceso de apropiación</w:t>
      </w:r>
      <w:r w:rsidR="00146BA5">
        <w:rPr>
          <w:lang w:val="es-AR"/>
        </w:rPr>
        <w:t>.</w:t>
      </w:r>
    </w:p>
    <w:p w14:paraId="0CF0F423" w14:textId="466C09DB" w:rsidR="00037614" w:rsidRDefault="00146BA5" w:rsidP="003D773B">
      <w:pPr>
        <w:jc w:val="both"/>
        <w:rPr>
          <w:lang w:val="es-AR"/>
        </w:rPr>
      </w:pPr>
      <w:r>
        <w:rPr>
          <w:lang w:val="es-AR"/>
        </w:rPr>
        <w:t>Durante la etapa clásica o desarrollista del proceso de industrialización por sustitución de importaciones (1930-1980), el grueso de la renta de la tierra apropiada por el capital del sector manufacturero estuvo materializada en mercancías primarias. La renta minera tuvo un lugar creciente pero marginal. Durante las primeras dos décadas de la etapa neoliberal del proceso de industrialización por sustitución de importaciones (1980-200</w:t>
      </w:r>
      <w:r w:rsidR="00BA044F">
        <w:rPr>
          <w:lang w:val="es-AR"/>
        </w:rPr>
        <w:t>2</w:t>
      </w:r>
      <w:r>
        <w:rPr>
          <w:lang w:val="es-AR"/>
        </w:rPr>
        <w:t xml:space="preserve">), dicha tendencia siguió sin cambios mayores. </w:t>
      </w:r>
      <w:r w:rsidR="00653499">
        <w:rPr>
          <w:lang w:val="es-AR"/>
        </w:rPr>
        <w:t>Sin embargo, d</w:t>
      </w:r>
      <w:r>
        <w:rPr>
          <w:lang w:val="es-AR"/>
        </w:rPr>
        <w:t xml:space="preserve">urante la etapa </w:t>
      </w:r>
      <w:proofErr w:type="spellStart"/>
      <w:r>
        <w:rPr>
          <w:lang w:val="es-AR"/>
        </w:rPr>
        <w:t>neodesarrollista</w:t>
      </w:r>
      <w:proofErr w:type="spellEnd"/>
      <w:r>
        <w:rPr>
          <w:lang w:val="es-AR"/>
        </w:rPr>
        <w:t xml:space="preserve"> del proceso de industrialización por sustitución de importaciones (200</w:t>
      </w:r>
      <w:r w:rsidR="00BA044F">
        <w:rPr>
          <w:lang w:val="es-AR"/>
        </w:rPr>
        <w:t>3</w:t>
      </w:r>
      <w:r>
        <w:rPr>
          <w:lang w:val="es-AR"/>
        </w:rPr>
        <w:t>-2015), dicha tendencia sufrió cambios notables. No solo la renta minera sufrió una expansión notable, a medida que las exportaciones de mineral de hierro hacia China entraron en un proceso</w:t>
      </w:r>
      <w:r w:rsidR="00BA044F">
        <w:rPr>
          <w:lang w:val="es-AR"/>
        </w:rPr>
        <w:t xml:space="preserve"> de franca expansión.</w:t>
      </w:r>
      <w:r>
        <w:rPr>
          <w:lang w:val="es-AR"/>
        </w:rPr>
        <w:t xml:space="preserve"> </w:t>
      </w:r>
      <w:r w:rsidR="00BA044F">
        <w:rPr>
          <w:lang w:val="es-AR"/>
        </w:rPr>
        <w:t>Descubrimientos de bastos yacimientos en la plataforma continental de Brasil dieron lugar a un crecimiento exponencial de la producción de hidrocarburos, y de la renta de la tierra materializada la producción primaria Brasileira.</w:t>
      </w:r>
      <w:r w:rsidR="00800B84">
        <w:rPr>
          <w:lang w:val="es-AR"/>
        </w:rPr>
        <w:t xml:space="preserve"> </w:t>
      </w:r>
      <w:r w:rsidR="0088061E">
        <w:rPr>
          <w:lang w:val="es-AR"/>
        </w:rPr>
        <w:t>El presente trabajo</w:t>
      </w:r>
      <w:r w:rsidR="00784C1E">
        <w:rPr>
          <w:lang w:val="es-AR"/>
        </w:rPr>
        <w:t xml:space="preserve"> ofrece una estimación de la renta de la tierra </w:t>
      </w:r>
      <w:r w:rsidR="00784C1E" w:rsidRPr="00784C1E">
        <w:rPr>
          <w:lang w:val="es-AR"/>
        </w:rPr>
        <w:t xml:space="preserve">hidrocarburífera </w:t>
      </w:r>
      <w:r w:rsidR="00784C1E">
        <w:rPr>
          <w:lang w:val="es-AR"/>
        </w:rPr>
        <w:t>brasileña durante el periodo 1999-201</w:t>
      </w:r>
      <w:r w:rsidR="00525F2F">
        <w:rPr>
          <w:lang w:val="es-AR"/>
        </w:rPr>
        <w:t>5</w:t>
      </w:r>
      <w:r w:rsidR="00784C1E">
        <w:rPr>
          <w:lang w:val="es-AR"/>
        </w:rPr>
        <w:t xml:space="preserve">. </w:t>
      </w:r>
    </w:p>
    <w:p w14:paraId="47F12906" w14:textId="77777777" w:rsidR="00037614" w:rsidRDefault="00037614" w:rsidP="003D773B">
      <w:pPr>
        <w:jc w:val="both"/>
        <w:rPr>
          <w:lang w:val="es-AR"/>
        </w:rPr>
      </w:pPr>
    </w:p>
    <w:p w14:paraId="60332E0E" w14:textId="2A0F428D" w:rsidR="0088061E" w:rsidRDefault="00037614" w:rsidP="003D773B">
      <w:pPr>
        <w:jc w:val="both"/>
        <w:rPr>
          <w:lang w:val="es-AR"/>
        </w:rPr>
      </w:pPr>
      <w:r>
        <w:rPr>
          <w:lang w:val="es-AR"/>
        </w:rPr>
        <w:t>2) Formas de apropiación</w:t>
      </w:r>
      <w:r w:rsidR="0088061E">
        <w:rPr>
          <w:lang w:val="es-AR"/>
        </w:rPr>
        <w:t xml:space="preserve"> de la renta de la tierra </w:t>
      </w:r>
      <w:r w:rsidR="0088061E" w:rsidRPr="00037614">
        <w:rPr>
          <w:lang w:val="es-AR"/>
        </w:rPr>
        <w:t>hidrocarburífer</w:t>
      </w:r>
      <w:r w:rsidR="0088061E">
        <w:rPr>
          <w:lang w:val="es-AR"/>
        </w:rPr>
        <w:t xml:space="preserve">a en Brasil </w:t>
      </w:r>
    </w:p>
    <w:p w14:paraId="3E09BD81" w14:textId="77777777" w:rsidR="00653499" w:rsidRDefault="00653499" w:rsidP="003D773B">
      <w:pPr>
        <w:jc w:val="both"/>
        <w:rPr>
          <w:lang w:val="es-AR"/>
        </w:rPr>
      </w:pPr>
      <w:r>
        <w:rPr>
          <w:lang w:val="es-AR"/>
        </w:rPr>
        <w:t>En términos generales, l</w:t>
      </w:r>
      <w:r w:rsidR="00BA044F">
        <w:rPr>
          <w:lang w:val="es-AR"/>
        </w:rPr>
        <w:t xml:space="preserve">a renta de la tierra puede ser apropiada por los dueños privados y públicos de las condiciones naturales para producir mercancías primarias o por otros actores económicos. </w:t>
      </w:r>
      <w:r w:rsidR="00784C1E">
        <w:rPr>
          <w:lang w:val="es-AR"/>
        </w:rPr>
        <w:t xml:space="preserve">En Brasil, la tierra usada para producir </w:t>
      </w:r>
      <w:r w:rsidR="00E96C2F">
        <w:rPr>
          <w:lang w:val="es-AR"/>
        </w:rPr>
        <w:t>hidrocarburos (</w:t>
      </w:r>
      <w:r w:rsidR="00784C1E">
        <w:rPr>
          <w:lang w:val="es-AR"/>
        </w:rPr>
        <w:t>gas</w:t>
      </w:r>
      <w:r w:rsidR="00E96C2F">
        <w:rPr>
          <w:lang w:val="es-AR"/>
        </w:rPr>
        <w:t xml:space="preserve"> natural</w:t>
      </w:r>
      <w:r w:rsidR="00784C1E">
        <w:rPr>
          <w:lang w:val="es-AR"/>
        </w:rPr>
        <w:t xml:space="preserve"> y petróleo</w:t>
      </w:r>
      <w:r w:rsidR="00E96C2F">
        <w:rPr>
          <w:lang w:val="es-AR"/>
        </w:rPr>
        <w:t>)</w:t>
      </w:r>
      <w:r w:rsidR="00784C1E">
        <w:rPr>
          <w:lang w:val="es-AR"/>
        </w:rPr>
        <w:t xml:space="preserve"> es propiedad </w:t>
      </w:r>
      <w:r w:rsidR="00E96C2F">
        <w:rPr>
          <w:lang w:val="es-AR"/>
        </w:rPr>
        <w:t xml:space="preserve">del </w:t>
      </w:r>
      <w:r w:rsidR="00784C1E">
        <w:rPr>
          <w:lang w:val="es-AR"/>
        </w:rPr>
        <w:t>esta</w:t>
      </w:r>
      <w:r w:rsidR="00E96C2F">
        <w:rPr>
          <w:lang w:val="es-AR"/>
        </w:rPr>
        <w:t>do</w:t>
      </w:r>
      <w:r>
        <w:rPr>
          <w:lang w:val="es-AR"/>
        </w:rPr>
        <w:t xml:space="preserve">, </w:t>
      </w:r>
      <w:r>
        <w:rPr>
          <w:lang w:val="es-AR"/>
        </w:rPr>
        <w:lastRenderedPageBreak/>
        <w:t>tanto en sus instancias estatales como regionales</w:t>
      </w:r>
      <w:r w:rsidR="00784C1E">
        <w:rPr>
          <w:lang w:val="es-AR"/>
        </w:rPr>
        <w:t xml:space="preserve">. La producción de dichas mercancías es realizada </w:t>
      </w:r>
      <w:r w:rsidR="006E7B97">
        <w:rPr>
          <w:lang w:val="es-AR"/>
        </w:rPr>
        <w:t xml:space="preserve">tanto por empresas públicas como privadas. </w:t>
      </w:r>
      <w:r w:rsidR="00784C1E">
        <w:rPr>
          <w:lang w:val="es-AR"/>
        </w:rPr>
        <w:t xml:space="preserve">Durante el periodo estudiado en este trabajo, </w:t>
      </w:r>
      <w:r>
        <w:rPr>
          <w:lang w:val="es-AR"/>
        </w:rPr>
        <w:t>alrededor d</w:t>
      </w:r>
      <w:r w:rsidR="00784C1E">
        <w:rPr>
          <w:lang w:val="es-AR"/>
        </w:rPr>
        <w:t>el 90% de la producción fue realizada por Petrobras</w:t>
      </w:r>
      <w:r w:rsidR="006E7B97">
        <w:rPr>
          <w:lang w:val="es-AR"/>
        </w:rPr>
        <w:t xml:space="preserve">, </w:t>
      </w:r>
      <w:r>
        <w:rPr>
          <w:lang w:val="es-AR"/>
        </w:rPr>
        <w:t xml:space="preserve">ex empresa estatal </w:t>
      </w:r>
      <w:r w:rsidR="006E7B97">
        <w:rPr>
          <w:lang w:val="es-AR"/>
        </w:rPr>
        <w:t xml:space="preserve">donde el estado </w:t>
      </w:r>
      <w:r>
        <w:rPr>
          <w:lang w:val="es-AR"/>
        </w:rPr>
        <w:t xml:space="preserve">conserva </w:t>
      </w:r>
      <w:r w:rsidR="006E7B97">
        <w:rPr>
          <w:lang w:val="es-AR"/>
        </w:rPr>
        <w:t>la mayoría accionaria</w:t>
      </w:r>
      <w:r w:rsidR="00784C1E">
        <w:rPr>
          <w:lang w:val="es-AR"/>
        </w:rPr>
        <w:t xml:space="preserve">. </w:t>
      </w:r>
    </w:p>
    <w:p w14:paraId="2678DCDD" w14:textId="13BD5C14" w:rsidR="00784C1E" w:rsidRDefault="009F0DD4" w:rsidP="003D773B">
      <w:pPr>
        <w:jc w:val="both"/>
        <w:rPr>
          <w:lang w:val="es-AR"/>
        </w:rPr>
      </w:pPr>
      <w:r>
        <w:rPr>
          <w:lang w:val="es-AR"/>
        </w:rPr>
        <w:t xml:space="preserve">En términos generales, desde el punto de vista de su magnitud, la renta de la tierra es la diferencia entre el precio de venta </w:t>
      </w:r>
      <w:r w:rsidR="00653499">
        <w:rPr>
          <w:lang w:val="es-AR"/>
        </w:rPr>
        <w:t xml:space="preserve">de las mercancías primarias </w:t>
      </w:r>
      <w:r>
        <w:rPr>
          <w:lang w:val="es-AR"/>
        </w:rPr>
        <w:t>y el precio de producción</w:t>
      </w:r>
      <w:r w:rsidR="006E7B97">
        <w:rPr>
          <w:lang w:val="es-AR"/>
        </w:rPr>
        <w:t xml:space="preserve"> del capital</w:t>
      </w:r>
      <w:r w:rsidR="00653499" w:rsidRPr="00653499">
        <w:rPr>
          <w:lang w:val="es-AR"/>
        </w:rPr>
        <w:t xml:space="preserve"> </w:t>
      </w:r>
      <w:r w:rsidR="00653499">
        <w:rPr>
          <w:lang w:val="es-AR"/>
        </w:rPr>
        <w:t>individual</w:t>
      </w:r>
      <w:r w:rsidR="006E7B97">
        <w:rPr>
          <w:lang w:val="es-AR"/>
        </w:rPr>
        <w:t xml:space="preserve"> que realiza el proceso de extracción</w:t>
      </w:r>
      <w:r>
        <w:rPr>
          <w:lang w:val="es-AR"/>
        </w:rPr>
        <w:t xml:space="preserve">. </w:t>
      </w:r>
      <w:r w:rsidR="00653499">
        <w:rPr>
          <w:lang w:val="es-AR"/>
        </w:rPr>
        <w:t>L</w:t>
      </w:r>
      <w:r w:rsidR="00784C1E">
        <w:rPr>
          <w:lang w:val="es-AR"/>
        </w:rPr>
        <w:t xml:space="preserve">a renta </w:t>
      </w:r>
      <w:r>
        <w:rPr>
          <w:lang w:val="es-AR"/>
        </w:rPr>
        <w:t xml:space="preserve">puede ser apropiada por el capital minero </w:t>
      </w:r>
      <w:r w:rsidR="00653499">
        <w:rPr>
          <w:lang w:val="es-AR"/>
        </w:rPr>
        <w:t xml:space="preserve">que alquila la tierra </w:t>
      </w:r>
      <w:r>
        <w:rPr>
          <w:lang w:val="es-AR"/>
        </w:rPr>
        <w:t xml:space="preserve">como parte de su ganancia </w:t>
      </w:r>
      <w:r w:rsidR="00653499">
        <w:rPr>
          <w:lang w:val="es-AR"/>
        </w:rPr>
        <w:t xml:space="preserve">comercial </w:t>
      </w:r>
      <w:r>
        <w:rPr>
          <w:lang w:val="es-AR"/>
        </w:rPr>
        <w:t>(A)</w:t>
      </w:r>
      <w:r w:rsidR="00653499">
        <w:rPr>
          <w:lang w:val="es-AR"/>
        </w:rPr>
        <w:t xml:space="preserve">; </w:t>
      </w:r>
      <w:r>
        <w:rPr>
          <w:lang w:val="es-AR"/>
        </w:rPr>
        <w:t xml:space="preserve">puede estar </w:t>
      </w:r>
      <w:r w:rsidR="00653499">
        <w:rPr>
          <w:lang w:val="es-AR"/>
        </w:rPr>
        <w:t xml:space="preserve">apropiada por los propietarios públicos de las condiciones naturales de producción por medio de </w:t>
      </w:r>
      <w:r>
        <w:rPr>
          <w:lang w:val="es-AR"/>
        </w:rPr>
        <w:t xml:space="preserve">impuestos </w:t>
      </w:r>
      <w:r w:rsidR="00653499">
        <w:rPr>
          <w:lang w:val="es-AR"/>
        </w:rPr>
        <w:t xml:space="preserve">especiales </w:t>
      </w:r>
      <w:r>
        <w:rPr>
          <w:lang w:val="es-AR"/>
        </w:rPr>
        <w:t xml:space="preserve">(royalties y contribuciones </w:t>
      </w:r>
      <w:r w:rsidR="00653499">
        <w:rPr>
          <w:lang w:val="es-AR"/>
        </w:rPr>
        <w:t>extraordinarias</w:t>
      </w:r>
      <w:r>
        <w:rPr>
          <w:lang w:val="es-AR"/>
        </w:rPr>
        <w:t>)</w:t>
      </w:r>
      <w:r w:rsidR="00653499">
        <w:rPr>
          <w:lang w:val="es-AR"/>
        </w:rPr>
        <w:t xml:space="preserve">; o, puede ser directamente apropiada por otros actores económicos.  En este último caso, la renta de la tierra estará materializada en </w:t>
      </w:r>
      <w:r>
        <w:rPr>
          <w:lang w:val="es-AR"/>
        </w:rPr>
        <w:t xml:space="preserve">la moneda extranjera vendida </w:t>
      </w:r>
      <w:r w:rsidR="006E7B97">
        <w:rPr>
          <w:lang w:val="es-AR"/>
        </w:rPr>
        <w:t xml:space="preserve">en el mercado de cambios nacional </w:t>
      </w:r>
      <w:r>
        <w:rPr>
          <w:lang w:val="es-AR"/>
        </w:rPr>
        <w:t>por los capitales mineros exportadores por debajo de su capacidad para representar valor (C)</w:t>
      </w:r>
      <w:r w:rsidR="006E7B97">
        <w:rPr>
          <w:lang w:val="es-AR"/>
        </w:rPr>
        <w:t>;</w:t>
      </w:r>
      <w:r>
        <w:rPr>
          <w:lang w:val="es-AR"/>
        </w:rPr>
        <w:t xml:space="preserve"> los sobreprecios cobrados por capitales proveedores de medios de producción y servicios al capital minero (D)</w:t>
      </w:r>
      <w:r w:rsidR="006E7B97">
        <w:rPr>
          <w:lang w:val="es-AR"/>
        </w:rPr>
        <w:t>;</w:t>
      </w:r>
      <w:r>
        <w:rPr>
          <w:lang w:val="es-AR"/>
        </w:rPr>
        <w:t xml:space="preserve"> los precios de venta de las mercancías mineras cuando estos se ubican por debajo de su precio internacional (E). </w:t>
      </w:r>
    </w:p>
    <w:p w14:paraId="6ECC3524" w14:textId="77777777" w:rsidR="00037614" w:rsidRDefault="00037614" w:rsidP="003D773B">
      <w:pPr>
        <w:jc w:val="both"/>
        <w:rPr>
          <w:lang w:val="es-AR"/>
        </w:rPr>
      </w:pPr>
    </w:p>
    <w:p w14:paraId="62D71FE4" w14:textId="775F0889" w:rsidR="00037614" w:rsidRDefault="00037614" w:rsidP="003D773B">
      <w:pPr>
        <w:jc w:val="both"/>
        <w:rPr>
          <w:lang w:val="es-AR"/>
        </w:rPr>
      </w:pPr>
      <w:r>
        <w:rPr>
          <w:lang w:val="es-AR"/>
        </w:rPr>
        <w:t xml:space="preserve">3) </w:t>
      </w:r>
      <w:r w:rsidR="00333C91">
        <w:rPr>
          <w:lang w:val="es-AR"/>
        </w:rPr>
        <w:t>Metodología</w:t>
      </w:r>
      <w:r>
        <w:rPr>
          <w:lang w:val="es-AR"/>
        </w:rPr>
        <w:t xml:space="preserve"> para estimar la renta de la tierra </w:t>
      </w:r>
      <w:r w:rsidRPr="00037614">
        <w:rPr>
          <w:lang w:val="es-AR"/>
        </w:rPr>
        <w:t>hidrocarburífer</w:t>
      </w:r>
      <w:r>
        <w:rPr>
          <w:lang w:val="es-AR"/>
        </w:rPr>
        <w:t xml:space="preserve">a en Brasil durante el </w:t>
      </w:r>
      <w:r w:rsidR="00333C91">
        <w:rPr>
          <w:lang w:val="es-AR"/>
        </w:rPr>
        <w:t>período</w:t>
      </w:r>
      <w:r>
        <w:rPr>
          <w:lang w:val="es-AR"/>
        </w:rPr>
        <w:t xml:space="preserve"> 199</w:t>
      </w:r>
      <w:r w:rsidR="00C21742">
        <w:rPr>
          <w:lang w:val="es-AR"/>
        </w:rPr>
        <w:t>9</w:t>
      </w:r>
      <w:r>
        <w:rPr>
          <w:lang w:val="es-AR"/>
        </w:rPr>
        <w:t>-201</w:t>
      </w:r>
      <w:r w:rsidR="002801F5">
        <w:rPr>
          <w:lang w:val="es-AR"/>
        </w:rPr>
        <w:t>4</w:t>
      </w:r>
      <w:r>
        <w:rPr>
          <w:lang w:val="es-AR"/>
        </w:rPr>
        <w:t xml:space="preserve"> </w:t>
      </w:r>
    </w:p>
    <w:p w14:paraId="73482AD0" w14:textId="77F41277" w:rsidR="0088061E" w:rsidRDefault="000A3843" w:rsidP="003D773B">
      <w:pPr>
        <w:jc w:val="both"/>
        <w:rPr>
          <w:lang w:val="es-AR"/>
        </w:rPr>
      </w:pPr>
      <w:r>
        <w:rPr>
          <w:lang w:val="es-AR"/>
        </w:rPr>
        <w:t xml:space="preserve">Este trabajo presenta dos </w:t>
      </w:r>
      <w:r w:rsidR="000D34A9">
        <w:rPr>
          <w:lang w:val="es-AR"/>
        </w:rPr>
        <w:t>metodologías</w:t>
      </w:r>
      <w:r>
        <w:rPr>
          <w:lang w:val="es-AR"/>
        </w:rPr>
        <w:t xml:space="preserve"> para computar la renta de la tierra </w:t>
      </w:r>
      <w:r w:rsidRPr="00037614">
        <w:rPr>
          <w:lang w:val="es-AR"/>
        </w:rPr>
        <w:t>hidrocarburífer</w:t>
      </w:r>
      <w:r>
        <w:rPr>
          <w:lang w:val="es-AR"/>
        </w:rPr>
        <w:t>a</w:t>
      </w:r>
      <w:r w:rsidR="00653499">
        <w:rPr>
          <w:lang w:val="es-AR"/>
        </w:rPr>
        <w:t xml:space="preserve"> en Brasil</w:t>
      </w:r>
      <w:r>
        <w:rPr>
          <w:lang w:val="es-AR"/>
        </w:rPr>
        <w:t>.</w:t>
      </w:r>
      <w:r w:rsidR="006E7B97">
        <w:rPr>
          <w:lang w:val="es-AR"/>
        </w:rPr>
        <w:t xml:space="preserve"> Una primera medición desarrolla un método ‘directo’, </w:t>
      </w:r>
      <w:r w:rsidR="000D34A9">
        <w:rPr>
          <w:lang w:val="es-AR"/>
        </w:rPr>
        <w:t>comparando</w:t>
      </w:r>
      <w:r w:rsidR="006E7B97">
        <w:rPr>
          <w:lang w:val="es-AR"/>
        </w:rPr>
        <w:t xml:space="preserve"> el precio de venta del petróleo y gas con el precio de producción. Una segunda medición desarrolla un método ‘indirecto’, estimando la magnitud de la renta de la tierra materializada en las formas de riqueza social arriba descriptas</w:t>
      </w:r>
      <w:r w:rsidR="000D34A9">
        <w:rPr>
          <w:lang w:val="es-AR"/>
        </w:rPr>
        <w:t xml:space="preserve"> (A-E)</w:t>
      </w:r>
      <w:r w:rsidR="006E7B97">
        <w:rPr>
          <w:lang w:val="es-AR"/>
        </w:rPr>
        <w:t xml:space="preserve">. </w:t>
      </w:r>
    </w:p>
    <w:p w14:paraId="6CBDB5B2" w14:textId="77777777" w:rsidR="00D52A5C" w:rsidRDefault="00D52A5C" w:rsidP="003D773B">
      <w:pPr>
        <w:jc w:val="both"/>
        <w:rPr>
          <w:lang w:val="es-AR"/>
        </w:rPr>
      </w:pPr>
    </w:p>
    <w:p w14:paraId="5E6947A9" w14:textId="317B92DB" w:rsidR="000B71AF" w:rsidRPr="004F343F" w:rsidRDefault="000B71AF" w:rsidP="003D773B">
      <w:pPr>
        <w:jc w:val="both"/>
        <w:rPr>
          <w:lang w:val="es-AR"/>
        </w:rPr>
      </w:pPr>
      <w:r w:rsidRPr="004F343F">
        <w:rPr>
          <w:lang w:val="es-AR"/>
        </w:rPr>
        <w:t>3.2) Método directo</w:t>
      </w:r>
    </w:p>
    <w:p w14:paraId="5E4B341B" w14:textId="65EED73C" w:rsidR="003D773B" w:rsidRDefault="000B71AF" w:rsidP="003D773B">
      <w:pPr>
        <w:jc w:val="both"/>
        <w:rPr>
          <w:lang w:val="es-AR"/>
        </w:rPr>
      </w:pPr>
      <w:r>
        <w:rPr>
          <w:lang w:val="es-AR"/>
        </w:rPr>
        <w:t xml:space="preserve">Se </w:t>
      </w:r>
      <w:r w:rsidR="000D34A9">
        <w:rPr>
          <w:lang w:val="es-AR"/>
        </w:rPr>
        <w:t xml:space="preserve">procedió </w:t>
      </w:r>
      <w:r>
        <w:rPr>
          <w:lang w:val="es-AR"/>
        </w:rPr>
        <w:t>e</w:t>
      </w:r>
      <w:r w:rsidRPr="00333C91">
        <w:rPr>
          <w:lang w:val="es-AR"/>
        </w:rPr>
        <w:t>stima</w:t>
      </w:r>
      <w:r>
        <w:rPr>
          <w:lang w:val="es-AR"/>
        </w:rPr>
        <w:t>ndo</w:t>
      </w:r>
      <w:r w:rsidRPr="00333C91">
        <w:rPr>
          <w:lang w:val="es-AR"/>
        </w:rPr>
        <w:t xml:space="preserve"> el precio de </w:t>
      </w:r>
      <w:r>
        <w:rPr>
          <w:lang w:val="es-AR"/>
        </w:rPr>
        <w:t xml:space="preserve">producción promedio de las mercancías producidas por el capital invertido en la producción </w:t>
      </w:r>
      <w:r w:rsidRPr="00037614">
        <w:rPr>
          <w:lang w:val="es-AR"/>
        </w:rPr>
        <w:t>hidrocarburífer</w:t>
      </w:r>
      <w:r>
        <w:rPr>
          <w:lang w:val="es-AR"/>
        </w:rPr>
        <w:t>a para luego compararlo con el precio internacional de las mercancías en cuestión</w:t>
      </w:r>
      <w:r w:rsidR="003D773B">
        <w:rPr>
          <w:lang w:val="es-AR"/>
        </w:rPr>
        <w:t xml:space="preserve"> expresado al tipo de cambio de paridad</w:t>
      </w:r>
      <w:r>
        <w:rPr>
          <w:lang w:val="es-AR"/>
        </w:rPr>
        <w:t xml:space="preserve">. La diferencia se multiplica por el producto total. Debido a la disponibilidad de datos, se procedió de la siguiente forma. El precio de producción fue estimado adicionando los costos </w:t>
      </w:r>
      <w:r w:rsidR="00916512">
        <w:rPr>
          <w:lang w:val="es-AR"/>
        </w:rPr>
        <w:t xml:space="preserve">totales </w:t>
      </w:r>
      <w:r>
        <w:rPr>
          <w:lang w:val="es-AR"/>
        </w:rPr>
        <w:t>de producción (i.e., exploración</w:t>
      </w:r>
      <w:r w:rsidR="005D3F4B">
        <w:rPr>
          <w:lang w:val="es-AR"/>
        </w:rPr>
        <w:t>,</w:t>
      </w:r>
      <w:r>
        <w:rPr>
          <w:lang w:val="es-AR"/>
        </w:rPr>
        <w:t xml:space="preserve"> desarrollo </w:t>
      </w:r>
      <w:r w:rsidR="005D3F4B">
        <w:rPr>
          <w:lang w:val="es-AR"/>
        </w:rPr>
        <w:t>y</w:t>
      </w:r>
      <w:r>
        <w:rPr>
          <w:lang w:val="es-AR"/>
        </w:rPr>
        <w:t xml:space="preserve"> extracción) y la ganancia normal</w:t>
      </w:r>
      <w:r w:rsidR="000A3843">
        <w:rPr>
          <w:lang w:val="es-AR"/>
        </w:rPr>
        <w:t xml:space="preserve"> del capital minero</w:t>
      </w:r>
      <w:r>
        <w:rPr>
          <w:lang w:val="es-AR"/>
        </w:rPr>
        <w:t xml:space="preserve">. </w:t>
      </w:r>
      <w:r w:rsidR="00916512">
        <w:rPr>
          <w:lang w:val="es-AR"/>
        </w:rPr>
        <w:t xml:space="preserve">Los costos de exploración y desarrollo fueron </w:t>
      </w:r>
      <w:r>
        <w:rPr>
          <w:lang w:val="es-AR"/>
        </w:rPr>
        <w:t>obtenido</w:t>
      </w:r>
      <w:r w:rsidR="00916512">
        <w:rPr>
          <w:lang w:val="es-AR"/>
        </w:rPr>
        <w:t>s</w:t>
      </w:r>
      <w:r>
        <w:rPr>
          <w:lang w:val="es-AR"/>
        </w:rPr>
        <w:t xml:space="preserve"> de distintas publicaciones especialidades. </w:t>
      </w:r>
      <w:r w:rsidR="00916512">
        <w:rPr>
          <w:lang w:val="es-AR"/>
        </w:rPr>
        <w:t>Los valores de los años donde no se encontró información fueron obtenidos usando la evolución de los costos de extracción. Estos últimos son informados por Petrobras</w:t>
      </w:r>
      <w:r w:rsidR="000D34A9">
        <w:rPr>
          <w:lang w:val="es-AR"/>
        </w:rPr>
        <w:t>.</w:t>
      </w:r>
      <w:r w:rsidR="00916512">
        <w:rPr>
          <w:lang w:val="es-AR"/>
        </w:rPr>
        <w:t xml:space="preserve"> </w:t>
      </w:r>
      <w:r w:rsidR="000A3843">
        <w:rPr>
          <w:lang w:val="es-AR"/>
        </w:rPr>
        <w:t xml:space="preserve">En todos los casos, los valores relativos a la producción gasífera fueros expresados en equivalentes petrolíferos. </w:t>
      </w:r>
      <w:r>
        <w:rPr>
          <w:lang w:val="es-AR"/>
        </w:rPr>
        <w:t>Los valores expresados en dólares fueron transformados en moneda local al tipo de cambio</w:t>
      </w:r>
      <w:r w:rsidR="000A3843">
        <w:rPr>
          <w:lang w:val="es-AR"/>
        </w:rPr>
        <w:t xml:space="preserve"> comercial. </w:t>
      </w:r>
      <w:r>
        <w:rPr>
          <w:lang w:val="es-AR"/>
        </w:rPr>
        <w:t>La ganancia nor</w:t>
      </w:r>
      <w:r w:rsidRPr="00D849B0">
        <w:rPr>
          <w:lang w:val="es-AR"/>
        </w:rPr>
        <w:t xml:space="preserve">mal se </w:t>
      </w:r>
      <w:r w:rsidR="000A3843" w:rsidRPr="00D849B0">
        <w:rPr>
          <w:lang w:val="es-AR"/>
        </w:rPr>
        <w:t xml:space="preserve">estimó </w:t>
      </w:r>
      <w:r w:rsidRPr="00D849B0">
        <w:rPr>
          <w:lang w:val="es-AR"/>
        </w:rPr>
        <w:t xml:space="preserve">aplicando la tasa de ganancia promedio del sector industrial </w:t>
      </w:r>
      <w:r w:rsidR="005D3F4B" w:rsidRPr="00D849B0">
        <w:rPr>
          <w:lang w:val="es-AR"/>
        </w:rPr>
        <w:t>durante 1999-2012</w:t>
      </w:r>
      <w:r w:rsidR="00D849B0" w:rsidRPr="00D849B0">
        <w:rPr>
          <w:lang w:val="es-AR"/>
        </w:rPr>
        <w:t>, 10,76%</w:t>
      </w:r>
      <w:r w:rsidR="005D3F4B">
        <w:rPr>
          <w:lang w:val="es-AR"/>
        </w:rPr>
        <w:t xml:space="preserve"> </w:t>
      </w:r>
      <w:r w:rsidR="00916512">
        <w:rPr>
          <w:lang w:val="es-AR"/>
        </w:rPr>
        <w:t>(Grinberg 2021)</w:t>
      </w:r>
      <w:r w:rsidR="000D34A9">
        <w:rPr>
          <w:lang w:val="es-AR"/>
        </w:rPr>
        <w:t>,</w:t>
      </w:r>
      <w:r w:rsidR="00916512">
        <w:rPr>
          <w:lang w:val="es-AR"/>
        </w:rPr>
        <w:t xml:space="preserve"> </w:t>
      </w:r>
      <w:r>
        <w:rPr>
          <w:lang w:val="es-AR"/>
        </w:rPr>
        <w:t xml:space="preserve">al capital total adelantado por el capital </w:t>
      </w:r>
      <w:r w:rsidRPr="00037614">
        <w:rPr>
          <w:lang w:val="es-AR"/>
        </w:rPr>
        <w:t>hidrocarburífer</w:t>
      </w:r>
      <w:r>
        <w:rPr>
          <w:lang w:val="es-AR"/>
        </w:rPr>
        <w:t>o</w:t>
      </w:r>
      <w:r w:rsidR="000A3843">
        <w:rPr>
          <w:lang w:val="es-AR"/>
        </w:rPr>
        <w:t xml:space="preserve"> en las etapas de exploración/desarrollo y extracción</w:t>
      </w:r>
      <w:r>
        <w:rPr>
          <w:lang w:val="es-AR"/>
        </w:rPr>
        <w:t xml:space="preserve">. </w:t>
      </w:r>
      <w:r w:rsidR="003D773B">
        <w:rPr>
          <w:lang w:val="es-AR"/>
        </w:rPr>
        <w:t xml:space="preserve">Este último se estimó sumando el capital fijo y circulante adelantado. El primero es reportado por la empresa Petrobras. El segundo fue estimado de la siguiente forma. La producción total fue multiplicada por el costo promedio de producción expresado en moneda nacional al tipo de cambio comercial. Se asumió que el capital circulante rota seis veces por año. </w:t>
      </w:r>
      <w:r w:rsidR="000D34A9">
        <w:rPr>
          <w:lang w:val="es-AR"/>
        </w:rPr>
        <w:t xml:space="preserve">El monto total de renta de la tierra se obtuvo multiplicando la renta unitaria de las mercancías producidas por Petrobras por la producción nacional total. </w:t>
      </w:r>
      <w:r w:rsidR="003D773B">
        <w:rPr>
          <w:lang w:val="es-AR"/>
        </w:rPr>
        <w:t>El cuadro siguiente reporta los resultados de la estimación.</w:t>
      </w:r>
    </w:p>
    <w:p w14:paraId="4AF0B71B" w14:textId="712EDE2A" w:rsidR="00B85B16" w:rsidRDefault="00B85B16" w:rsidP="003D773B">
      <w:pPr>
        <w:jc w:val="both"/>
        <w:rPr>
          <w:lang w:val="es-AR"/>
        </w:rPr>
      </w:pPr>
    </w:p>
    <w:p w14:paraId="3E006FB4" w14:textId="414E93F1" w:rsidR="000440AC" w:rsidRDefault="000440AC" w:rsidP="003D773B">
      <w:pPr>
        <w:jc w:val="both"/>
        <w:rPr>
          <w:lang w:val="es-AR"/>
        </w:rPr>
      </w:pPr>
      <w:r w:rsidRPr="000440AC">
        <w:rPr>
          <w:noProof/>
        </w:rPr>
        <w:drawing>
          <wp:inline distT="0" distB="0" distL="0" distR="0" wp14:anchorId="6614053F" wp14:editId="4AD1E444">
            <wp:extent cx="6177600" cy="246960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7600" cy="2469600"/>
                    </a:xfrm>
                    <a:prstGeom prst="rect">
                      <a:avLst/>
                    </a:prstGeom>
                    <a:noFill/>
                    <a:ln>
                      <a:noFill/>
                    </a:ln>
                  </pic:spPr>
                </pic:pic>
              </a:graphicData>
            </a:graphic>
          </wp:inline>
        </w:drawing>
      </w:r>
    </w:p>
    <w:p w14:paraId="76BB7BB2" w14:textId="142E702E" w:rsidR="000B71AF" w:rsidRDefault="00C65502" w:rsidP="00D849B0">
      <w:pPr>
        <w:pBdr>
          <w:top w:val="single" w:sz="4" w:space="1" w:color="auto"/>
          <w:left w:val="single" w:sz="4" w:space="4" w:color="auto"/>
          <w:bottom w:val="single" w:sz="4" w:space="1" w:color="auto"/>
          <w:right w:val="single" w:sz="4" w:space="4" w:color="auto"/>
        </w:pBdr>
        <w:spacing w:after="0"/>
        <w:ind w:left="113" w:right="-567"/>
        <w:jc w:val="both"/>
        <w:rPr>
          <w:sz w:val="20"/>
          <w:szCs w:val="20"/>
          <w:lang w:val="es-AR"/>
        </w:rPr>
      </w:pPr>
      <w:r w:rsidRPr="00C65502">
        <w:rPr>
          <w:sz w:val="20"/>
          <w:szCs w:val="20"/>
          <w:lang w:val="es-AR"/>
        </w:rPr>
        <w:t xml:space="preserve">Referencias: </w:t>
      </w:r>
      <w:proofErr w:type="spellStart"/>
      <w:r w:rsidRPr="00C65502">
        <w:rPr>
          <w:sz w:val="20"/>
          <w:szCs w:val="20"/>
          <w:lang w:val="es-AR"/>
        </w:rPr>
        <w:t>Exp</w:t>
      </w:r>
      <w:proofErr w:type="spellEnd"/>
      <w:r w:rsidRPr="00C65502">
        <w:rPr>
          <w:sz w:val="20"/>
          <w:szCs w:val="20"/>
          <w:lang w:val="es-AR"/>
        </w:rPr>
        <w:t>: Costo de exploración; Ext: Costo de extracción; CT: Costo total; PEX: Precio de exportación; PROD: Producción; TCP: Tipo de cambio de paridad; TCC: Tipo de cambio comercial; CP: Costo de Producción; KC: Capital circulante; KF: Capital fij</w:t>
      </w:r>
      <w:r w:rsidR="002B2FF2">
        <w:rPr>
          <w:sz w:val="20"/>
          <w:szCs w:val="20"/>
          <w:lang w:val="es-AR"/>
        </w:rPr>
        <w:t>o</w:t>
      </w:r>
      <w:r w:rsidRPr="00C65502">
        <w:rPr>
          <w:sz w:val="20"/>
          <w:szCs w:val="20"/>
          <w:lang w:val="es-AR"/>
        </w:rPr>
        <w:t xml:space="preserve">; K total: Capital total; GAN: Ganancia normal; PP: Precio de producción; RTH1: Renta de la tierra hidrocarburífera método </w:t>
      </w:r>
      <w:r w:rsidR="0014735D">
        <w:rPr>
          <w:sz w:val="20"/>
          <w:szCs w:val="20"/>
          <w:lang w:val="es-AR"/>
        </w:rPr>
        <w:t>directo</w:t>
      </w:r>
      <w:r w:rsidRPr="00C65502">
        <w:rPr>
          <w:sz w:val="20"/>
          <w:szCs w:val="20"/>
          <w:lang w:val="es-AR"/>
        </w:rPr>
        <w:t>.</w:t>
      </w:r>
    </w:p>
    <w:p w14:paraId="549242B7" w14:textId="473830E8" w:rsidR="00D849B0" w:rsidRPr="00C65502" w:rsidRDefault="00D849B0" w:rsidP="00D849B0">
      <w:pPr>
        <w:pBdr>
          <w:top w:val="single" w:sz="4" w:space="1" w:color="auto"/>
          <w:left w:val="single" w:sz="4" w:space="4" w:color="auto"/>
          <w:bottom w:val="single" w:sz="4" w:space="1" w:color="auto"/>
          <w:right w:val="single" w:sz="4" w:space="4" w:color="auto"/>
        </w:pBdr>
        <w:ind w:left="113" w:right="-567"/>
        <w:jc w:val="both"/>
        <w:rPr>
          <w:sz w:val="20"/>
          <w:szCs w:val="20"/>
          <w:lang w:val="es-AR"/>
        </w:rPr>
      </w:pPr>
      <w:r>
        <w:rPr>
          <w:sz w:val="20"/>
          <w:szCs w:val="20"/>
          <w:lang w:val="es-AR"/>
        </w:rPr>
        <w:t xml:space="preserve">Note: los valores en negrita fueron estimados. </w:t>
      </w:r>
    </w:p>
    <w:p w14:paraId="65059D09" w14:textId="71ABA4BD" w:rsidR="000B71AF" w:rsidRDefault="000B71AF" w:rsidP="00C0151B">
      <w:pPr>
        <w:ind w:left="-1304"/>
        <w:jc w:val="both"/>
        <w:rPr>
          <w:lang w:val="es-AR"/>
        </w:rPr>
      </w:pPr>
    </w:p>
    <w:p w14:paraId="2366542A" w14:textId="249A9C16" w:rsidR="000B71AF" w:rsidRDefault="0003011E" w:rsidP="003D773B">
      <w:pPr>
        <w:jc w:val="both"/>
        <w:rPr>
          <w:lang w:val="es-AR"/>
        </w:rPr>
      </w:pPr>
      <w:r>
        <w:rPr>
          <w:lang w:val="es-AR"/>
        </w:rPr>
        <w:t>De modo a</w:t>
      </w:r>
      <w:r w:rsidR="00B85B16">
        <w:rPr>
          <w:lang w:val="es-AR"/>
        </w:rPr>
        <w:t>lternativ</w:t>
      </w:r>
      <w:r>
        <w:rPr>
          <w:lang w:val="es-AR"/>
        </w:rPr>
        <w:t xml:space="preserve">o, </w:t>
      </w:r>
      <w:r w:rsidR="000D34A9">
        <w:rPr>
          <w:lang w:val="es-AR"/>
        </w:rPr>
        <w:t xml:space="preserve">se procedió a estimar </w:t>
      </w:r>
      <w:r w:rsidR="00B85B16">
        <w:rPr>
          <w:lang w:val="es-AR"/>
        </w:rPr>
        <w:t xml:space="preserve">los costos unitarios de producción dividiendo los costos totales </w:t>
      </w:r>
      <w:r>
        <w:rPr>
          <w:lang w:val="es-AR"/>
        </w:rPr>
        <w:t xml:space="preserve">en Exploración y Producción reportados </w:t>
      </w:r>
      <w:r w:rsidR="00B85B16">
        <w:rPr>
          <w:lang w:val="es-AR"/>
        </w:rPr>
        <w:t xml:space="preserve">por </w:t>
      </w:r>
      <w:r>
        <w:rPr>
          <w:lang w:val="es-AR"/>
        </w:rPr>
        <w:t xml:space="preserve">Petrobras por su </w:t>
      </w:r>
      <w:r w:rsidR="00B85B16">
        <w:rPr>
          <w:lang w:val="es-AR"/>
        </w:rPr>
        <w:t>producción de equivalente</w:t>
      </w:r>
      <w:r>
        <w:rPr>
          <w:lang w:val="es-AR"/>
        </w:rPr>
        <w:t>s</w:t>
      </w:r>
      <w:r w:rsidR="00B85B16">
        <w:rPr>
          <w:lang w:val="es-AR"/>
        </w:rPr>
        <w:t xml:space="preserve"> de </w:t>
      </w:r>
      <w:r>
        <w:rPr>
          <w:lang w:val="es-AR"/>
        </w:rPr>
        <w:t xml:space="preserve">barriles de </w:t>
      </w:r>
      <w:r w:rsidR="00B85B16">
        <w:rPr>
          <w:lang w:val="es-AR"/>
        </w:rPr>
        <w:t xml:space="preserve">petróleo </w:t>
      </w:r>
      <w:r>
        <w:rPr>
          <w:lang w:val="es-AR"/>
        </w:rPr>
        <w:t xml:space="preserve">en Brasil. El cuadro siguiente presente los resultados de esta estimación alternativa. </w:t>
      </w:r>
    </w:p>
    <w:p w14:paraId="44C6D1BF" w14:textId="77777777" w:rsidR="00B511B2" w:rsidRDefault="00B511B2" w:rsidP="003D773B">
      <w:pPr>
        <w:jc w:val="both"/>
        <w:rPr>
          <w:lang w:val="es-AR"/>
        </w:rPr>
      </w:pPr>
    </w:p>
    <w:p w14:paraId="27B78655" w14:textId="0233B323" w:rsidR="000B71AF" w:rsidRDefault="00B511B2" w:rsidP="003D773B">
      <w:pPr>
        <w:jc w:val="both"/>
        <w:rPr>
          <w:lang w:val="es-AR"/>
        </w:rPr>
      </w:pPr>
      <w:r w:rsidRPr="00B511B2">
        <w:rPr>
          <w:noProof/>
        </w:rPr>
        <w:drawing>
          <wp:inline distT="0" distB="0" distL="0" distR="0" wp14:anchorId="3E4E47CD" wp14:editId="7188B1A9">
            <wp:extent cx="5929200" cy="243360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9200" cy="2433600"/>
                    </a:xfrm>
                    <a:prstGeom prst="rect">
                      <a:avLst/>
                    </a:prstGeom>
                    <a:noFill/>
                    <a:ln>
                      <a:noFill/>
                    </a:ln>
                  </pic:spPr>
                </pic:pic>
              </a:graphicData>
            </a:graphic>
          </wp:inline>
        </w:drawing>
      </w:r>
    </w:p>
    <w:p w14:paraId="1CD74313" w14:textId="335894D3" w:rsidR="00D849B0" w:rsidRPr="00C65502" w:rsidRDefault="00C65502" w:rsidP="00B511B2">
      <w:pPr>
        <w:pBdr>
          <w:top w:val="single" w:sz="4" w:space="1" w:color="auto"/>
          <w:left w:val="single" w:sz="4" w:space="4" w:color="auto"/>
          <w:bottom w:val="single" w:sz="4" w:space="1" w:color="auto"/>
          <w:right w:val="single" w:sz="4" w:space="4" w:color="auto"/>
        </w:pBdr>
        <w:spacing w:after="0"/>
        <w:ind w:left="113" w:right="-227"/>
        <w:jc w:val="both"/>
        <w:rPr>
          <w:sz w:val="20"/>
          <w:szCs w:val="20"/>
          <w:lang w:val="es-AR"/>
        </w:rPr>
      </w:pPr>
      <w:r w:rsidRPr="00C65502">
        <w:rPr>
          <w:sz w:val="20"/>
          <w:szCs w:val="20"/>
          <w:lang w:val="es-AR"/>
        </w:rPr>
        <w:t>Referencias: E</w:t>
      </w:r>
      <w:r>
        <w:rPr>
          <w:sz w:val="20"/>
          <w:szCs w:val="20"/>
          <w:lang w:val="es-AR"/>
        </w:rPr>
        <w:t>&amp;P</w:t>
      </w:r>
      <w:r w:rsidRPr="00C65502">
        <w:rPr>
          <w:sz w:val="20"/>
          <w:szCs w:val="20"/>
          <w:lang w:val="es-AR"/>
        </w:rPr>
        <w:t>: Costo de exploración</w:t>
      </w:r>
      <w:r>
        <w:rPr>
          <w:sz w:val="20"/>
          <w:szCs w:val="20"/>
          <w:lang w:val="es-AR"/>
        </w:rPr>
        <w:t xml:space="preserve"> y producción</w:t>
      </w:r>
      <w:r w:rsidRPr="00C65502">
        <w:rPr>
          <w:sz w:val="20"/>
          <w:szCs w:val="20"/>
          <w:lang w:val="es-AR"/>
        </w:rPr>
        <w:t>; PEX: Precio de exportación; PROD</w:t>
      </w:r>
      <w:r w:rsidR="00B4538E">
        <w:rPr>
          <w:sz w:val="20"/>
          <w:szCs w:val="20"/>
          <w:lang w:val="es-AR"/>
        </w:rPr>
        <w:t xml:space="preserve"> PB</w:t>
      </w:r>
      <w:r w:rsidRPr="00C65502">
        <w:rPr>
          <w:sz w:val="20"/>
          <w:szCs w:val="20"/>
          <w:lang w:val="es-AR"/>
        </w:rPr>
        <w:t>: Producción</w:t>
      </w:r>
      <w:r w:rsidR="00B4538E">
        <w:rPr>
          <w:sz w:val="20"/>
          <w:szCs w:val="20"/>
          <w:lang w:val="es-AR"/>
        </w:rPr>
        <w:t xml:space="preserve"> Petrobras</w:t>
      </w:r>
      <w:r w:rsidRPr="00C65502">
        <w:rPr>
          <w:sz w:val="20"/>
          <w:szCs w:val="20"/>
          <w:lang w:val="es-AR"/>
        </w:rPr>
        <w:t>; TCP: Tipo de cambio de paridad; TCC: Tipo de cambio comercial; CP: Costo de Producción; KC: Capital circulante; KF</w:t>
      </w:r>
      <w:r w:rsidR="002B2FF2">
        <w:rPr>
          <w:sz w:val="20"/>
          <w:szCs w:val="20"/>
          <w:lang w:val="es-AR"/>
        </w:rPr>
        <w:t xml:space="preserve"> PB</w:t>
      </w:r>
      <w:r w:rsidRPr="00C65502">
        <w:rPr>
          <w:sz w:val="20"/>
          <w:szCs w:val="20"/>
          <w:lang w:val="es-AR"/>
        </w:rPr>
        <w:t>: Capital fij</w:t>
      </w:r>
      <w:r w:rsidR="002B2FF2">
        <w:rPr>
          <w:sz w:val="20"/>
          <w:szCs w:val="20"/>
          <w:lang w:val="es-AR"/>
        </w:rPr>
        <w:t>o Petrobras</w:t>
      </w:r>
      <w:r w:rsidRPr="00C65502">
        <w:rPr>
          <w:sz w:val="20"/>
          <w:szCs w:val="20"/>
          <w:lang w:val="es-AR"/>
        </w:rPr>
        <w:t xml:space="preserve">; K total: Capital total; GAN: Ganancia normal; PP: Precio de producción; RTH1: Renta de la tierra hidrocarburífera método </w:t>
      </w:r>
      <w:r w:rsidR="0014735D">
        <w:rPr>
          <w:sz w:val="20"/>
          <w:szCs w:val="20"/>
          <w:lang w:val="es-AR"/>
        </w:rPr>
        <w:t>indirecto alternativo</w:t>
      </w:r>
      <w:r w:rsidRPr="00C65502">
        <w:rPr>
          <w:sz w:val="20"/>
          <w:szCs w:val="20"/>
          <w:lang w:val="es-AR"/>
        </w:rPr>
        <w:t>.</w:t>
      </w:r>
    </w:p>
    <w:p w14:paraId="1D90E6AE" w14:textId="1F2DCAFE" w:rsidR="006E7B97" w:rsidRDefault="006E7B97" w:rsidP="003D773B">
      <w:pPr>
        <w:jc w:val="both"/>
        <w:rPr>
          <w:lang w:val="es-AR"/>
        </w:rPr>
      </w:pPr>
    </w:p>
    <w:p w14:paraId="38DC27F6" w14:textId="4D75F7A8" w:rsidR="006E7B97" w:rsidRDefault="002A569C" w:rsidP="003D773B">
      <w:pPr>
        <w:jc w:val="both"/>
        <w:rPr>
          <w:lang w:val="es-AR"/>
        </w:rPr>
      </w:pPr>
      <w:r w:rsidRPr="002A569C">
        <w:rPr>
          <w:lang w:val="es-AR"/>
        </w:rPr>
        <w:lastRenderedPageBreak/>
        <w:t xml:space="preserve">Puede verse en el cuadro anterior que, siendo los costos de producción </w:t>
      </w:r>
      <w:r w:rsidR="000D34A9" w:rsidRPr="002A569C">
        <w:rPr>
          <w:lang w:val="es-AR"/>
        </w:rPr>
        <w:t>más</w:t>
      </w:r>
      <w:r w:rsidRPr="002A569C">
        <w:rPr>
          <w:lang w:val="es-AR"/>
        </w:rPr>
        <w:t xml:space="preserve"> elevados que los usados en la primera estimación, la magnitud de la renta se reduce </w:t>
      </w:r>
      <w:r w:rsidR="000D34A9">
        <w:rPr>
          <w:lang w:val="es-AR"/>
        </w:rPr>
        <w:t xml:space="preserve">en esta estimación alternativa </w:t>
      </w:r>
      <w:r w:rsidRPr="002A569C">
        <w:rPr>
          <w:lang w:val="es-AR"/>
        </w:rPr>
        <w:t>por dos canales: aumento de costos y de</w:t>
      </w:r>
      <w:r>
        <w:rPr>
          <w:lang w:val="es-AR"/>
        </w:rPr>
        <w:t xml:space="preserve"> ganancia normal</w:t>
      </w:r>
      <w:r w:rsidR="000D34A9">
        <w:rPr>
          <w:lang w:val="es-AR"/>
        </w:rPr>
        <w:t xml:space="preserve"> imputada</w:t>
      </w:r>
      <w:r>
        <w:rPr>
          <w:lang w:val="es-AR"/>
        </w:rPr>
        <w:t xml:space="preserve">. </w:t>
      </w:r>
    </w:p>
    <w:p w14:paraId="35B0E1E7" w14:textId="77777777" w:rsidR="00B511B2" w:rsidRDefault="00B511B2" w:rsidP="003D773B">
      <w:pPr>
        <w:jc w:val="both"/>
        <w:rPr>
          <w:lang w:val="es-AR"/>
        </w:rPr>
      </w:pPr>
    </w:p>
    <w:p w14:paraId="7E52B5FC" w14:textId="3C94F086" w:rsidR="00037614" w:rsidRDefault="00333C91" w:rsidP="003D773B">
      <w:pPr>
        <w:jc w:val="both"/>
        <w:rPr>
          <w:lang w:val="es-AR"/>
        </w:rPr>
      </w:pPr>
      <w:r>
        <w:rPr>
          <w:lang w:val="es-AR"/>
        </w:rPr>
        <w:t>3.</w:t>
      </w:r>
      <w:r w:rsidR="000B71AF">
        <w:rPr>
          <w:lang w:val="es-AR"/>
        </w:rPr>
        <w:t>2</w:t>
      </w:r>
      <w:r w:rsidR="00037614">
        <w:rPr>
          <w:lang w:val="es-AR"/>
        </w:rPr>
        <w:t xml:space="preserve">) </w:t>
      </w:r>
      <w:r>
        <w:rPr>
          <w:lang w:val="es-AR"/>
        </w:rPr>
        <w:t>Método</w:t>
      </w:r>
      <w:r w:rsidR="00037614">
        <w:rPr>
          <w:lang w:val="es-AR"/>
        </w:rPr>
        <w:t xml:space="preserve"> indirecto </w:t>
      </w:r>
    </w:p>
    <w:p w14:paraId="61491D4A" w14:textId="77777777" w:rsidR="00CE2FB5" w:rsidRDefault="004F343F" w:rsidP="003D773B">
      <w:pPr>
        <w:jc w:val="both"/>
        <w:rPr>
          <w:lang w:val="es-AR"/>
        </w:rPr>
      </w:pPr>
      <w:r w:rsidRPr="004F343F">
        <w:rPr>
          <w:lang w:val="es-AR"/>
        </w:rPr>
        <w:t xml:space="preserve">Se </w:t>
      </w:r>
      <w:r w:rsidR="000D34A9">
        <w:rPr>
          <w:lang w:val="es-AR"/>
        </w:rPr>
        <w:t xml:space="preserve">procedió </w:t>
      </w:r>
      <w:r w:rsidRPr="004F343F">
        <w:rPr>
          <w:lang w:val="es-AR"/>
        </w:rPr>
        <w:t>a</w:t>
      </w:r>
      <w:r w:rsidR="00037614" w:rsidRPr="004F343F">
        <w:rPr>
          <w:lang w:val="es-AR"/>
        </w:rPr>
        <w:t>diciona</w:t>
      </w:r>
      <w:r w:rsidRPr="004F343F">
        <w:rPr>
          <w:lang w:val="es-AR"/>
        </w:rPr>
        <w:t xml:space="preserve">ndo </w:t>
      </w:r>
      <w:r w:rsidR="000D34A9">
        <w:rPr>
          <w:lang w:val="es-AR"/>
        </w:rPr>
        <w:t xml:space="preserve">los ítems </w:t>
      </w:r>
      <w:r w:rsidR="00037614" w:rsidRPr="004F343F">
        <w:rPr>
          <w:lang w:val="es-AR"/>
        </w:rPr>
        <w:t>A</w:t>
      </w:r>
      <w:r w:rsidR="009F0DD4">
        <w:rPr>
          <w:lang w:val="es-AR"/>
        </w:rPr>
        <w:t>-</w:t>
      </w:r>
      <w:r w:rsidR="00037614" w:rsidRPr="004F343F">
        <w:rPr>
          <w:lang w:val="es-AR"/>
        </w:rPr>
        <w:t>E</w:t>
      </w:r>
      <w:r w:rsidR="000D34A9">
        <w:rPr>
          <w:lang w:val="es-AR"/>
        </w:rPr>
        <w:t xml:space="preserve"> descriptos en la sección 2</w:t>
      </w:r>
      <w:r w:rsidR="00333C91" w:rsidRPr="004F343F">
        <w:rPr>
          <w:lang w:val="es-AR"/>
        </w:rPr>
        <w:t>.</w:t>
      </w:r>
      <w:r w:rsidRPr="004F343F">
        <w:rPr>
          <w:lang w:val="es-AR"/>
        </w:rPr>
        <w:t xml:space="preserve"> La </w:t>
      </w:r>
      <w:r>
        <w:rPr>
          <w:lang w:val="es-AR"/>
        </w:rPr>
        <w:t xml:space="preserve">renta apropiada por el capital minero </w:t>
      </w:r>
      <w:r w:rsidR="00916512">
        <w:rPr>
          <w:lang w:val="es-AR"/>
        </w:rPr>
        <w:t xml:space="preserve">(A) </w:t>
      </w:r>
      <w:r>
        <w:rPr>
          <w:lang w:val="es-AR"/>
        </w:rPr>
        <w:t xml:space="preserve">se </w:t>
      </w:r>
      <w:r w:rsidR="000D34A9">
        <w:rPr>
          <w:lang w:val="es-AR"/>
        </w:rPr>
        <w:t>computó</w:t>
      </w:r>
      <w:r>
        <w:rPr>
          <w:lang w:val="es-AR"/>
        </w:rPr>
        <w:t xml:space="preserve"> comparando la ganancia realizada</w:t>
      </w:r>
      <w:r w:rsidR="003D773B">
        <w:rPr>
          <w:lang w:val="es-AR"/>
        </w:rPr>
        <w:t>, reportada en los balances de Petrobras,</w:t>
      </w:r>
      <w:r>
        <w:rPr>
          <w:lang w:val="es-AR"/>
        </w:rPr>
        <w:t xml:space="preserve"> con la ganancia normal </w:t>
      </w:r>
      <w:r w:rsidR="003D773B">
        <w:rPr>
          <w:lang w:val="es-AR"/>
        </w:rPr>
        <w:t xml:space="preserve">estimada más arriba. </w:t>
      </w:r>
      <w:r w:rsidR="00916512">
        <w:rPr>
          <w:lang w:val="es-AR"/>
        </w:rPr>
        <w:t>La primera se ajust</w:t>
      </w:r>
      <w:r w:rsidR="000D34A9">
        <w:rPr>
          <w:lang w:val="es-AR"/>
        </w:rPr>
        <w:t>ó</w:t>
      </w:r>
      <w:r w:rsidR="00916512">
        <w:rPr>
          <w:lang w:val="es-AR"/>
        </w:rPr>
        <w:t xml:space="preserve"> en la medida correspondiente para incluir </w:t>
      </w:r>
      <w:r w:rsidR="00525F2F">
        <w:rPr>
          <w:lang w:val="es-AR"/>
        </w:rPr>
        <w:t>producciones</w:t>
      </w:r>
      <w:r w:rsidR="00916512">
        <w:rPr>
          <w:lang w:val="es-AR"/>
        </w:rPr>
        <w:t xml:space="preserve"> de </w:t>
      </w:r>
      <w:r w:rsidR="00525F2F">
        <w:rPr>
          <w:lang w:val="es-AR"/>
        </w:rPr>
        <w:t>otras</w:t>
      </w:r>
      <w:r w:rsidR="00916512">
        <w:rPr>
          <w:lang w:val="es-AR"/>
        </w:rPr>
        <w:t xml:space="preserve"> empresas. </w:t>
      </w:r>
      <w:r>
        <w:rPr>
          <w:lang w:val="es-AR"/>
        </w:rPr>
        <w:t xml:space="preserve">Los impuestos sobre la ganancia extraordinaria y los royalties cobrados por el estado en su carácter de propietario legal de las condiciones naturales para producir mercancías </w:t>
      </w:r>
      <w:r w:rsidRPr="00037614">
        <w:rPr>
          <w:lang w:val="es-AR"/>
        </w:rPr>
        <w:t>hidrocarburífer</w:t>
      </w:r>
      <w:r>
        <w:rPr>
          <w:lang w:val="es-AR"/>
        </w:rPr>
        <w:t xml:space="preserve">as se </w:t>
      </w:r>
      <w:r w:rsidR="000D34A9">
        <w:rPr>
          <w:lang w:val="es-AR"/>
        </w:rPr>
        <w:t>obtuvieron</w:t>
      </w:r>
      <w:r>
        <w:rPr>
          <w:lang w:val="es-AR"/>
        </w:rPr>
        <w:t xml:space="preserve"> de</w:t>
      </w:r>
      <w:r w:rsidR="000D34A9">
        <w:rPr>
          <w:lang w:val="es-AR"/>
        </w:rPr>
        <w:t xml:space="preserve"> la </w:t>
      </w:r>
      <w:r w:rsidR="000D34A9" w:rsidRPr="000D34A9">
        <w:rPr>
          <w:lang w:val="es-AR"/>
        </w:rPr>
        <w:t>Agencia Nacional de Petróleo, Gas Natural y Biocombustibles</w:t>
      </w:r>
      <w:r w:rsidR="000D34A9">
        <w:rPr>
          <w:lang w:val="es-AR"/>
        </w:rPr>
        <w:t xml:space="preserve">, ANP </w:t>
      </w:r>
      <w:r w:rsidR="00525F2F">
        <w:rPr>
          <w:lang w:val="es-AR"/>
        </w:rPr>
        <w:t>(B)</w:t>
      </w:r>
      <w:r>
        <w:rPr>
          <w:lang w:val="es-AR"/>
        </w:rPr>
        <w:t>. La renta de la tierra apropiada po</w:t>
      </w:r>
      <w:r w:rsidR="003D773B">
        <w:rPr>
          <w:lang w:val="es-AR"/>
        </w:rPr>
        <w:t xml:space="preserve">r </w:t>
      </w:r>
      <w:r>
        <w:rPr>
          <w:lang w:val="es-AR"/>
        </w:rPr>
        <w:t xml:space="preserve">medio de la sobrevaluación de la moneda nacional </w:t>
      </w:r>
      <w:r w:rsidR="00525F2F">
        <w:rPr>
          <w:lang w:val="es-AR"/>
        </w:rPr>
        <w:t xml:space="preserve">(C y E) </w:t>
      </w:r>
      <w:r>
        <w:rPr>
          <w:lang w:val="es-AR"/>
        </w:rPr>
        <w:t xml:space="preserve">se </w:t>
      </w:r>
      <w:r w:rsidR="00B00E76">
        <w:rPr>
          <w:lang w:val="es-AR"/>
        </w:rPr>
        <w:t>obtuvo</w:t>
      </w:r>
      <w:r>
        <w:rPr>
          <w:lang w:val="es-AR"/>
        </w:rPr>
        <w:t xml:space="preserve"> </w:t>
      </w:r>
      <w:r w:rsidR="003D773B">
        <w:rPr>
          <w:lang w:val="es-AR"/>
        </w:rPr>
        <w:t>multiplicando la diferencia entre el tipo de cambio de paridad y el tipo de cambio comercial por el</w:t>
      </w:r>
      <w:r>
        <w:rPr>
          <w:lang w:val="es-AR"/>
        </w:rPr>
        <w:t xml:space="preserve"> valor total de la producción </w:t>
      </w:r>
      <w:r w:rsidRPr="00037614">
        <w:rPr>
          <w:lang w:val="es-AR"/>
        </w:rPr>
        <w:t>hidrocarburífer</w:t>
      </w:r>
      <w:r>
        <w:rPr>
          <w:lang w:val="es-AR"/>
        </w:rPr>
        <w:t xml:space="preserve">a expresada en precios </w:t>
      </w:r>
      <w:r w:rsidR="003D773B">
        <w:rPr>
          <w:lang w:val="es-AR"/>
        </w:rPr>
        <w:t>de exportación</w:t>
      </w:r>
      <w:r>
        <w:rPr>
          <w:lang w:val="es-AR"/>
        </w:rPr>
        <w:t>.</w:t>
      </w:r>
      <w:r w:rsidR="003D773B">
        <w:rPr>
          <w:lang w:val="es-AR"/>
        </w:rPr>
        <w:t xml:space="preserve"> </w:t>
      </w:r>
      <w:r w:rsidR="00897306">
        <w:rPr>
          <w:lang w:val="es-AR"/>
        </w:rPr>
        <w:t xml:space="preserve">Esta parte incluye tanto la renta materializada en las mercancías mineras exportadas (por vía del efecto sobre la compraventa de moneda extranjera) como en las consumidas en la economía nacional (por vía del efecto sobre los precios internos). </w:t>
      </w:r>
      <w:r w:rsidR="0088061E">
        <w:rPr>
          <w:lang w:val="es-AR"/>
        </w:rPr>
        <w:t xml:space="preserve">La renta </w:t>
      </w:r>
      <w:r w:rsidR="00F77100">
        <w:rPr>
          <w:lang w:val="es-AR"/>
        </w:rPr>
        <w:t xml:space="preserve">de la tierra </w:t>
      </w:r>
      <w:r w:rsidR="0088061E">
        <w:rPr>
          <w:lang w:val="es-AR"/>
        </w:rPr>
        <w:t xml:space="preserve">apropiada por el capital proveedor de medios de producción al sector </w:t>
      </w:r>
      <w:r w:rsidR="0088061E" w:rsidRPr="00037614">
        <w:rPr>
          <w:lang w:val="es-AR"/>
        </w:rPr>
        <w:t>hidrocarburífer</w:t>
      </w:r>
      <w:r w:rsidR="0088061E">
        <w:rPr>
          <w:lang w:val="es-AR"/>
        </w:rPr>
        <w:t xml:space="preserve">o mediante sobreprecios </w:t>
      </w:r>
      <w:r w:rsidR="00525F2F">
        <w:rPr>
          <w:lang w:val="es-AR"/>
        </w:rPr>
        <w:t xml:space="preserve">(D) </w:t>
      </w:r>
      <w:r w:rsidR="0088061E">
        <w:rPr>
          <w:lang w:val="es-AR"/>
        </w:rPr>
        <w:t>se estim</w:t>
      </w:r>
      <w:r w:rsidR="00B00E76">
        <w:rPr>
          <w:lang w:val="es-AR"/>
        </w:rPr>
        <w:t>ó</w:t>
      </w:r>
      <w:r w:rsidR="0088061E">
        <w:rPr>
          <w:lang w:val="es-AR"/>
        </w:rPr>
        <w:t xml:space="preserve"> comparando los precios pagados por los mismos con sus precios internacionales expresados al tipo de </w:t>
      </w:r>
    </w:p>
    <w:p w14:paraId="56D8A85B" w14:textId="6D9DFEE9" w:rsidR="004F343F" w:rsidRDefault="0088061E" w:rsidP="003D773B">
      <w:pPr>
        <w:jc w:val="both"/>
        <w:rPr>
          <w:lang w:val="es-AR"/>
        </w:rPr>
      </w:pPr>
      <w:r>
        <w:rPr>
          <w:lang w:val="es-AR"/>
        </w:rPr>
        <w:t xml:space="preserve">cambio de paridad. </w:t>
      </w:r>
      <w:r w:rsidR="00897306">
        <w:rPr>
          <w:lang w:val="es-AR"/>
        </w:rPr>
        <w:t xml:space="preserve">Por falta de datos esta porción de la renta de la tierra no fue estimada en el presente trabajo. </w:t>
      </w:r>
      <w:r>
        <w:rPr>
          <w:lang w:val="es-AR"/>
        </w:rPr>
        <w:t xml:space="preserve">El mismo criterio se aplica para la renta apropiada por el capital local que directa o indirectamente consume las mercancías producidas por el capital </w:t>
      </w:r>
      <w:r w:rsidRPr="00037614">
        <w:rPr>
          <w:lang w:val="es-AR"/>
        </w:rPr>
        <w:t>hidrocarburífer</w:t>
      </w:r>
      <w:r>
        <w:rPr>
          <w:lang w:val="es-AR"/>
        </w:rPr>
        <w:t>o</w:t>
      </w:r>
      <w:r w:rsidR="00525F2F">
        <w:rPr>
          <w:lang w:val="es-AR"/>
        </w:rPr>
        <w:t xml:space="preserve"> (E)</w:t>
      </w:r>
      <w:r>
        <w:rPr>
          <w:lang w:val="es-AR"/>
        </w:rPr>
        <w:t>.</w:t>
      </w:r>
      <w:r w:rsidR="003D773B">
        <w:rPr>
          <w:lang w:val="es-AR"/>
        </w:rPr>
        <w:t xml:space="preserve"> </w:t>
      </w:r>
      <w:r w:rsidR="00897306">
        <w:rPr>
          <w:lang w:val="es-AR"/>
        </w:rPr>
        <w:t xml:space="preserve">Como se </w:t>
      </w:r>
      <w:r w:rsidR="00B00E76">
        <w:rPr>
          <w:lang w:val="es-AR"/>
        </w:rPr>
        <w:t>vio</w:t>
      </w:r>
      <w:r w:rsidR="00897306">
        <w:rPr>
          <w:lang w:val="es-AR"/>
        </w:rPr>
        <w:t xml:space="preserve"> anteriormente, una parte de esta diferencia se computa al comparar el valor de la producción en monedad nacional expresada al tipo de cambia de paridad con su expresión al tipo de cambio comercial. El resto de dicha diferencia se comput</w:t>
      </w:r>
      <w:r w:rsidR="00B00E76">
        <w:rPr>
          <w:lang w:val="es-AR"/>
        </w:rPr>
        <w:t>ó</w:t>
      </w:r>
      <w:r w:rsidR="00897306">
        <w:rPr>
          <w:lang w:val="es-AR"/>
        </w:rPr>
        <w:t xml:space="preserve"> comparando los precios internos </w:t>
      </w:r>
      <w:r w:rsidR="00A25039">
        <w:rPr>
          <w:lang w:val="es-AR"/>
        </w:rPr>
        <w:t xml:space="preserve">en la puerta refinería libres de impuestos </w:t>
      </w:r>
      <w:r w:rsidR="00897306">
        <w:rPr>
          <w:lang w:val="es-AR"/>
        </w:rPr>
        <w:t>al tipo de cambio comercial con precios internacionales</w:t>
      </w:r>
      <w:r w:rsidR="00A25039">
        <w:rPr>
          <w:lang w:val="es-AR"/>
        </w:rPr>
        <w:t xml:space="preserve"> equivalentes</w:t>
      </w:r>
      <w:r w:rsidR="00897306">
        <w:rPr>
          <w:lang w:val="es-AR"/>
        </w:rPr>
        <w:t xml:space="preserve">. </w:t>
      </w:r>
      <w:r w:rsidR="00CE141D">
        <w:rPr>
          <w:lang w:val="es-AR"/>
        </w:rPr>
        <w:t>E</w:t>
      </w:r>
      <w:r w:rsidR="00A25039">
        <w:rPr>
          <w:lang w:val="es-AR"/>
        </w:rPr>
        <w:t xml:space="preserve">n este trabajo incluyeron los precios de la gasolina, el diésel y el fuel </w:t>
      </w:r>
      <w:proofErr w:type="spellStart"/>
      <w:r w:rsidR="00A25039">
        <w:rPr>
          <w:lang w:val="es-AR"/>
        </w:rPr>
        <w:t>oil</w:t>
      </w:r>
      <w:proofErr w:type="spellEnd"/>
      <w:r w:rsidR="00A25039">
        <w:rPr>
          <w:lang w:val="es-AR"/>
        </w:rPr>
        <w:t>. Los datos para diciembre de 200</w:t>
      </w:r>
      <w:r w:rsidR="00692C5B">
        <w:rPr>
          <w:lang w:val="es-AR"/>
        </w:rPr>
        <w:t>1</w:t>
      </w:r>
      <w:r w:rsidR="00A25039">
        <w:rPr>
          <w:lang w:val="es-AR"/>
        </w:rPr>
        <w:t xml:space="preserve"> (</w:t>
      </w:r>
      <w:proofErr w:type="spellStart"/>
      <w:r w:rsidR="00A25039">
        <w:rPr>
          <w:lang w:val="es-AR"/>
        </w:rPr>
        <w:t>Al</w:t>
      </w:r>
      <w:r w:rsidR="0034307C">
        <w:rPr>
          <w:lang w:val="es-AR"/>
        </w:rPr>
        <w:t>t</w:t>
      </w:r>
      <w:r w:rsidR="00A25039">
        <w:rPr>
          <w:lang w:val="es-AR"/>
        </w:rPr>
        <w:t>omonte</w:t>
      </w:r>
      <w:proofErr w:type="spellEnd"/>
      <w:r w:rsidR="00A25039">
        <w:rPr>
          <w:lang w:val="es-AR"/>
        </w:rPr>
        <w:t xml:space="preserve"> y </w:t>
      </w:r>
      <w:proofErr w:type="spellStart"/>
      <w:r w:rsidR="00A25039">
        <w:rPr>
          <w:lang w:val="es-AR"/>
        </w:rPr>
        <w:t>Rogat</w:t>
      </w:r>
      <w:proofErr w:type="spellEnd"/>
      <w:r w:rsidR="00A25039">
        <w:rPr>
          <w:lang w:val="es-AR"/>
        </w:rPr>
        <w:t xml:space="preserve"> 2004: 151) fueron </w:t>
      </w:r>
      <w:r w:rsidR="0034307C">
        <w:rPr>
          <w:lang w:val="es-AR"/>
        </w:rPr>
        <w:t>expresados</w:t>
      </w:r>
      <w:r w:rsidR="00A25039">
        <w:rPr>
          <w:lang w:val="es-AR"/>
        </w:rPr>
        <w:t xml:space="preserve"> en valor</w:t>
      </w:r>
      <w:r w:rsidR="0034307C">
        <w:rPr>
          <w:lang w:val="es-AR"/>
        </w:rPr>
        <w:t>e</w:t>
      </w:r>
      <w:r w:rsidR="00A25039">
        <w:rPr>
          <w:lang w:val="es-AR"/>
        </w:rPr>
        <w:t>s de 200</w:t>
      </w:r>
      <w:r w:rsidR="00692C5B">
        <w:rPr>
          <w:lang w:val="es-AR"/>
        </w:rPr>
        <w:t>2</w:t>
      </w:r>
      <w:r w:rsidR="00A25039">
        <w:rPr>
          <w:lang w:val="es-AR"/>
        </w:rPr>
        <w:t xml:space="preserve"> </w:t>
      </w:r>
      <w:r w:rsidR="0034307C">
        <w:rPr>
          <w:lang w:val="es-AR"/>
        </w:rPr>
        <w:t>utilizando</w:t>
      </w:r>
      <w:r w:rsidR="00A25039">
        <w:rPr>
          <w:lang w:val="es-AR"/>
        </w:rPr>
        <w:t xml:space="preserve"> el </w:t>
      </w:r>
      <w:r w:rsidR="0034307C">
        <w:rPr>
          <w:lang w:val="es-AR"/>
        </w:rPr>
        <w:t>Índice</w:t>
      </w:r>
      <w:r w:rsidR="00A25039">
        <w:rPr>
          <w:lang w:val="es-AR"/>
        </w:rPr>
        <w:t xml:space="preserve"> de precios </w:t>
      </w:r>
      <w:r w:rsidR="0034307C">
        <w:rPr>
          <w:lang w:val="es-AR"/>
        </w:rPr>
        <w:t>mayoristas de combustibles y lubricantes (</w:t>
      </w:r>
      <w:r w:rsidR="00B00E76">
        <w:rPr>
          <w:lang w:val="es-AR"/>
        </w:rPr>
        <w:t xml:space="preserve">ANP </w:t>
      </w:r>
      <w:r w:rsidR="0034307C">
        <w:rPr>
          <w:lang w:val="es-AR"/>
        </w:rPr>
        <w:t xml:space="preserve">– </w:t>
      </w:r>
      <w:proofErr w:type="spellStart"/>
      <w:r w:rsidR="00B00E76">
        <w:rPr>
          <w:lang w:val="es-AR"/>
        </w:rPr>
        <w:t>Ipeadata</w:t>
      </w:r>
      <w:proofErr w:type="spellEnd"/>
      <w:r w:rsidR="0034307C">
        <w:rPr>
          <w:lang w:val="es-AR"/>
        </w:rPr>
        <w:t>)</w:t>
      </w:r>
      <w:r w:rsidR="00692C5B">
        <w:rPr>
          <w:lang w:val="es-AR"/>
        </w:rPr>
        <w:t>;</w:t>
      </w:r>
      <w:r w:rsidR="0034307C">
        <w:rPr>
          <w:lang w:val="es-AR"/>
        </w:rPr>
        <w:t xml:space="preserve"> el resto de la serie fue calculada utilizando los precios medios recibidos por productores e importadores libres del impuesto al valor agregado (Anuario Estadístico</w:t>
      </w:r>
      <w:r w:rsidR="00B00E76">
        <w:rPr>
          <w:lang w:val="es-AR"/>
        </w:rPr>
        <w:t>,</w:t>
      </w:r>
      <w:r w:rsidR="0034307C">
        <w:rPr>
          <w:lang w:val="es-AR"/>
        </w:rPr>
        <w:t xml:space="preserve"> ANP). </w:t>
      </w:r>
      <w:r w:rsidR="00A25039">
        <w:rPr>
          <w:lang w:val="es-AR"/>
        </w:rPr>
        <w:t>Se utilizaron precios de Estados Unidos para representar los precios internacionales de los productos derivados del petróleo</w:t>
      </w:r>
      <w:r w:rsidR="003E4F0F">
        <w:rPr>
          <w:lang w:val="es-AR"/>
        </w:rPr>
        <w:t xml:space="preserve"> (</w:t>
      </w:r>
      <w:r w:rsidR="003E4F0F" w:rsidRPr="003E4F0F">
        <w:rPr>
          <w:lang w:val="es-AR"/>
        </w:rPr>
        <w:t xml:space="preserve">Energy </w:t>
      </w:r>
      <w:proofErr w:type="spellStart"/>
      <w:r w:rsidR="003E4F0F" w:rsidRPr="003E4F0F">
        <w:rPr>
          <w:lang w:val="es-AR"/>
        </w:rPr>
        <w:t>Information</w:t>
      </w:r>
      <w:proofErr w:type="spellEnd"/>
      <w:r w:rsidR="003E4F0F" w:rsidRPr="003E4F0F">
        <w:rPr>
          <w:lang w:val="es-AR"/>
        </w:rPr>
        <w:t xml:space="preserve"> </w:t>
      </w:r>
      <w:proofErr w:type="spellStart"/>
      <w:r w:rsidR="003E4F0F" w:rsidRPr="003E4F0F">
        <w:rPr>
          <w:lang w:val="es-AR"/>
        </w:rPr>
        <w:t>Administration</w:t>
      </w:r>
      <w:proofErr w:type="spellEnd"/>
      <w:r w:rsidR="003E4F0F">
        <w:rPr>
          <w:lang w:val="es-AR"/>
        </w:rPr>
        <w:t>, EIA)</w:t>
      </w:r>
      <w:r w:rsidR="00A25039">
        <w:rPr>
          <w:lang w:val="es-AR"/>
        </w:rPr>
        <w:t xml:space="preserve">. </w:t>
      </w:r>
      <w:r w:rsidR="00AE3243">
        <w:rPr>
          <w:lang w:val="es-AR"/>
        </w:rPr>
        <w:t>El siguiente cuadro presenta los resultados</w:t>
      </w:r>
      <w:r w:rsidR="002A569C">
        <w:rPr>
          <w:lang w:val="es-AR"/>
        </w:rPr>
        <w:t>.</w:t>
      </w:r>
    </w:p>
    <w:p w14:paraId="580D0058" w14:textId="77777777" w:rsidR="00135057" w:rsidRDefault="00135057" w:rsidP="003D773B">
      <w:pPr>
        <w:jc w:val="both"/>
        <w:rPr>
          <w:lang w:val="es-AR"/>
        </w:rPr>
      </w:pPr>
    </w:p>
    <w:p w14:paraId="49EAFA7B" w14:textId="22E7AC9A" w:rsidR="0014735D" w:rsidRDefault="0014735D" w:rsidP="003D773B">
      <w:pPr>
        <w:jc w:val="both"/>
        <w:rPr>
          <w:lang w:val="es-AR"/>
        </w:rPr>
      </w:pPr>
    </w:p>
    <w:p w14:paraId="354480F2" w14:textId="0C6B84E2" w:rsidR="0034307C" w:rsidRDefault="00692C5B" w:rsidP="003D773B">
      <w:pPr>
        <w:jc w:val="both"/>
        <w:rPr>
          <w:lang w:val="es-AR"/>
        </w:rPr>
      </w:pPr>
      <w:r w:rsidRPr="00692C5B">
        <w:rPr>
          <w:noProof/>
        </w:rPr>
        <w:lastRenderedPageBreak/>
        <w:drawing>
          <wp:inline distT="0" distB="0" distL="0" distR="0" wp14:anchorId="02EFD3F4" wp14:editId="1F1A412A">
            <wp:extent cx="5731510" cy="25584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8415"/>
                    </a:xfrm>
                    <a:prstGeom prst="rect">
                      <a:avLst/>
                    </a:prstGeom>
                    <a:noFill/>
                    <a:ln>
                      <a:noFill/>
                    </a:ln>
                  </pic:spPr>
                </pic:pic>
              </a:graphicData>
            </a:graphic>
          </wp:inline>
        </w:drawing>
      </w:r>
    </w:p>
    <w:p w14:paraId="7D2F58AD" w14:textId="72C9C3D5" w:rsidR="0014735D" w:rsidRPr="0014735D" w:rsidRDefault="0014735D" w:rsidP="0014735D">
      <w:pPr>
        <w:pBdr>
          <w:top w:val="single" w:sz="4" w:space="1" w:color="auto"/>
          <w:left w:val="single" w:sz="4" w:space="4" w:color="auto"/>
          <w:bottom w:val="single" w:sz="4" w:space="1" w:color="auto"/>
          <w:right w:val="single" w:sz="4" w:space="4" w:color="auto"/>
        </w:pBdr>
        <w:ind w:left="113" w:right="113"/>
        <w:jc w:val="both"/>
        <w:rPr>
          <w:sz w:val="20"/>
          <w:szCs w:val="20"/>
          <w:lang w:val="es-AR"/>
        </w:rPr>
      </w:pPr>
      <w:r w:rsidRPr="0014735D">
        <w:rPr>
          <w:sz w:val="20"/>
          <w:szCs w:val="20"/>
          <w:lang w:val="es-AR"/>
        </w:rPr>
        <w:t xml:space="preserve">Referencias: VP: Valor de la producción; ATC: Renta apropiada vía tipo de cambio; ROY+IE: Renta apropiada vía royalties e impuestos especiales; </w:t>
      </w:r>
      <w:r w:rsidR="0034307C">
        <w:rPr>
          <w:sz w:val="20"/>
          <w:szCs w:val="20"/>
          <w:lang w:val="es-AR"/>
        </w:rPr>
        <w:t xml:space="preserve">PRECIO: Renta apropiada por diferencial de precios no reflejado por el efecto de la sobrevaluación del tipo de cambio; </w:t>
      </w:r>
      <w:r w:rsidRPr="0014735D">
        <w:rPr>
          <w:sz w:val="20"/>
          <w:szCs w:val="20"/>
          <w:lang w:val="es-AR"/>
        </w:rPr>
        <w:t>ING: Ingresos netos; AKM: Renta apropiada por el capital minero; RTH2: Renta de la tierra hidrocarburífera método indirecto.</w:t>
      </w:r>
    </w:p>
    <w:p w14:paraId="76D5EB0E" w14:textId="2ACAFF7D" w:rsidR="0014735D" w:rsidRDefault="0014735D" w:rsidP="006E7B97">
      <w:pPr>
        <w:jc w:val="both"/>
        <w:rPr>
          <w:highlight w:val="yellow"/>
          <w:lang w:val="es-AR"/>
        </w:rPr>
      </w:pPr>
    </w:p>
    <w:p w14:paraId="48B82598" w14:textId="5E749D30" w:rsidR="00B00E76" w:rsidRDefault="00B00E76" w:rsidP="006E7B97">
      <w:pPr>
        <w:jc w:val="both"/>
        <w:rPr>
          <w:highlight w:val="yellow"/>
          <w:lang w:val="es-AR"/>
        </w:rPr>
      </w:pPr>
      <w:r w:rsidRPr="00B00E76">
        <w:rPr>
          <w:lang w:val="es-AR"/>
        </w:rPr>
        <w:t xml:space="preserve">Puede observarse en el cuadro anterior que durante varios años los precios internos de los productos </w:t>
      </w:r>
      <w:proofErr w:type="spellStart"/>
      <w:r w:rsidRPr="00B00E76">
        <w:rPr>
          <w:lang w:val="es-AR"/>
        </w:rPr>
        <w:t>hidrocarburíferos</w:t>
      </w:r>
      <w:proofErr w:type="spellEnd"/>
      <w:r w:rsidRPr="00B00E76">
        <w:rPr>
          <w:lang w:val="es-AR"/>
        </w:rPr>
        <w:t xml:space="preserve"> regulados directamente por el estado nacional se ubicaron por encima de la expresión simple en moneda nacional de los precios internacionales (i.e., al tipo de cambio comercial) como forma de compensar al capital minero por el impacto en la ganancia normal de la sobrevaluación de la moneda nacional (2007 y 2010), de la fuera caída de los precios internacionales (2002 y 2003), o de ambos (2009 y 2015).</w:t>
      </w:r>
      <w:r>
        <w:rPr>
          <w:highlight w:val="yellow"/>
          <w:lang w:val="es-AR"/>
        </w:rPr>
        <w:t xml:space="preserve"> </w:t>
      </w:r>
    </w:p>
    <w:p w14:paraId="3ABF32EC" w14:textId="77777777" w:rsidR="00B00E76" w:rsidRDefault="00B00E76" w:rsidP="006E7B97">
      <w:pPr>
        <w:jc w:val="both"/>
        <w:rPr>
          <w:highlight w:val="yellow"/>
          <w:lang w:val="es-AR"/>
        </w:rPr>
      </w:pPr>
    </w:p>
    <w:p w14:paraId="7446D7D4" w14:textId="1F156BE2" w:rsidR="00AE3243" w:rsidRDefault="00AE3243" w:rsidP="003D773B">
      <w:pPr>
        <w:jc w:val="both"/>
        <w:rPr>
          <w:lang w:val="es-AR"/>
        </w:rPr>
      </w:pPr>
      <w:r>
        <w:rPr>
          <w:lang w:val="es-AR"/>
        </w:rPr>
        <w:t>3.3) Comparación de los resultados</w:t>
      </w:r>
    </w:p>
    <w:p w14:paraId="7BC79052" w14:textId="07FD195F" w:rsidR="00AE3243" w:rsidRDefault="000809FE" w:rsidP="003D773B">
      <w:pPr>
        <w:jc w:val="both"/>
        <w:rPr>
          <w:lang w:val="es-AR"/>
        </w:rPr>
      </w:pPr>
      <w:r>
        <w:rPr>
          <w:lang w:val="es-AR"/>
        </w:rPr>
        <w:t xml:space="preserve">El siguiente gráfico compara ambos resultados de las dos metodologías utilizadas para estimar la magnitud de la renta de la tierra hidrocarburífera apropiada por actores económicos distintos al capital minero. </w:t>
      </w:r>
    </w:p>
    <w:p w14:paraId="14E1FE34" w14:textId="1196735E" w:rsidR="00C0151B" w:rsidRDefault="00C0151B" w:rsidP="003D773B">
      <w:pPr>
        <w:jc w:val="both"/>
        <w:rPr>
          <w:lang w:val="es-AR"/>
        </w:rPr>
      </w:pPr>
    </w:p>
    <w:p w14:paraId="516F9FFB" w14:textId="2CC1FBCB" w:rsidR="005C4AD5" w:rsidRDefault="0034307C" w:rsidP="003D773B">
      <w:pPr>
        <w:jc w:val="both"/>
        <w:rPr>
          <w:lang w:val="es-AR"/>
        </w:rPr>
      </w:pPr>
      <w:r>
        <w:rPr>
          <w:noProof/>
        </w:rPr>
        <w:lastRenderedPageBreak/>
        <w:drawing>
          <wp:inline distT="0" distB="0" distL="0" distR="0" wp14:anchorId="3A7006DD" wp14:editId="56052E8B">
            <wp:extent cx="5040000" cy="2880000"/>
            <wp:effectExtent l="0" t="0" r="8255" b="15875"/>
            <wp:docPr id="3" name="Chart 3">
              <a:extLst xmlns:a="http://schemas.openxmlformats.org/drawingml/2006/main">
                <a:ext uri="{FF2B5EF4-FFF2-40B4-BE49-F238E27FC236}">
                  <a16:creationId xmlns:a16="http://schemas.microsoft.com/office/drawing/2014/main" id="{D3474032-F5FC-414D-8255-34C0865820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06201E" w14:textId="77777777" w:rsidR="00AC21F3" w:rsidRPr="00AC21F3" w:rsidRDefault="00AC21F3" w:rsidP="00AC21F3">
      <w:pPr>
        <w:pBdr>
          <w:top w:val="single" w:sz="4" w:space="1" w:color="auto"/>
          <w:left w:val="single" w:sz="4" w:space="4" w:color="auto"/>
          <w:bottom w:val="single" w:sz="4" w:space="1" w:color="auto"/>
          <w:right w:val="single" w:sz="4" w:space="4" w:color="auto"/>
        </w:pBdr>
        <w:spacing w:after="0"/>
        <w:ind w:left="113" w:right="1191"/>
        <w:jc w:val="both"/>
        <w:rPr>
          <w:sz w:val="20"/>
          <w:szCs w:val="20"/>
          <w:lang w:val="es-AR"/>
        </w:rPr>
      </w:pPr>
      <w:r w:rsidRPr="00AC21F3">
        <w:rPr>
          <w:sz w:val="20"/>
          <w:szCs w:val="20"/>
          <w:lang w:val="es-AR"/>
        </w:rPr>
        <w:t>Referencias: RTH1: Renta de la tierra hidrocarburífera método directo; RTH1’: Renta de la tierra hidrocarburífera método directo alternativo; RTH2: Renta de la tierra hidrocarburífera método indirecto.</w:t>
      </w:r>
    </w:p>
    <w:p w14:paraId="28E552CB" w14:textId="355FA9E9" w:rsidR="00AC21F3" w:rsidRDefault="00AC21F3" w:rsidP="003D773B">
      <w:pPr>
        <w:jc w:val="both"/>
        <w:rPr>
          <w:lang w:val="es-AR"/>
        </w:rPr>
      </w:pPr>
      <w:r>
        <w:rPr>
          <w:lang w:val="es-AR"/>
        </w:rPr>
        <w:t xml:space="preserve"> </w:t>
      </w:r>
    </w:p>
    <w:p w14:paraId="1ACD5C15" w14:textId="760C98F0" w:rsidR="000809FE" w:rsidRDefault="005C4AD5" w:rsidP="003D773B">
      <w:pPr>
        <w:jc w:val="both"/>
        <w:rPr>
          <w:lang w:val="es-AR"/>
        </w:rPr>
      </w:pPr>
      <w:r>
        <w:rPr>
          <w:lang w:val="es-AR"/>
        </w:rPr>
        <w:t>Puede observarse en el gráfico anterior que</w:t>
      </w:r>
      <w:r w:rsidR="0029345A">
        <w:rPr>
          <w:lang w:val="es-AR"/>
        </w:rPr>
        <w:t xml:space="preserve"> durante el periodo 2002-2015 </w:t>
      </w:r>
      <w:r w:rsidR="001C0DAF">
        <w:rPr>
          <w:lang w:val="es-AR"/>
        </w:rPr>
        <w:t xml:space="preserve">los montos de renta de la tierra hidrocarburífera estimados mediante el método indirecto ascienden al </w:t>
      </w:r>
      <w:r w:rsidR="00784CC1">
        <w:rPr>
          <w:lang w:val="es-AR"/>
        </w:rPr>
        <w:t>7</w:t>
      </w:r>
      <w:r w:rsidR="00692C5B">
        <w:rPr>
          <w:lang w:val="es-AR"/>
        </w:rPr>
        <w:t>8</w:t>
      </w:r>
      <w:r w:rsidR="001C0DAF">
        <w:rPr>
          <w:lang w:val="es-AR"/>
        </w:rPr>
        <w:t>% de los estimados mediante el método directo</w:t>
      </w:r>
      <w:r w:rsidR="00E00B15">
        <w:rPr>
          <w:lang w:val="es-AR"/>
        </w:rPr>
        <w:t xml:space="preserve"> RTH1 y </w:t>
      </w:r>
      <w:r w:rsidR="00B00E76">
        <w:rPr>
          <w:lang w:val="es-AR"/>
        </w:rPr>
        <w:t xml:space="preserve">al </w:t>
      </w:r>
      <w:r w:rsidR="00784CC1">
        <w:rPr>
          <w:lang w:val="es-AR"/>
        </w:rPr>
        <w:t>8</w:t>
      </w:r>
      <w:r w:rsidR="00692C5B">
        <w:rPr>
          <w:lang w:val="es-AR"/>
        </w:rPr>
        <w:t>9</w:t>
      </w:r>
      <w:r w:rsidR="00E00B15">
        <w:rPr>
          <w:lang w:val="es-AR"/>
        </w:rPr>
        <w:t>% de la estimación RTH1’; para el periodo 2007-2015, la relación asciende a 8</w:t>
      </w:r>
      <w:r w:rsidR="002A569C">
        <w:rPr>
          <w:lang w:val="es-AR"/>
        </w:rPr>
        <w:t>8</w:t>
      </w:r>
      <w:r w:rsidR="00E00B15">
        <w:rPr>
          <w:lang w:val="es-AR"/>
        </w:rPr>
        <w:t>% y 1</w:t>
      </w:r>
      <w:r w:rsidR="002A569C">
        <w:rPr>
          <w:lang w:val="es-AR"/>
        </w:rPr>
        <w:t>0</w:t>
      </w:r>
      <w:r w:rsidR="00784CC1">
        <w:rPr>
          <w:lang w:val="es-AR"/>
        </w:rPr>
        <w:t>2</w:t>
      </w:r>
      <w:r w:rsidR="00E00B15">
        <w:rPr>
          <w:lang w:val="es-AR"/>
        </w:rPr>
        <w:t>% respectivamente</w:t>
      </w:r>
      <w:r w:rsidR="001C0DAF">
        <w:rPr>
          <w:lang w:val="es-AR"/>
        </w:rPr>
        <w:t xml:space="preserve">. </w:t>
      </w:r>
      <w:r>
        <w:rPr>
          <w:lang w:val="es-AR"/>
        </w:rPr>
        <w:t xml:space="preserve">Esta diferencia </w:t>
      </w:r>
      <w:r w:rsidR="00611029">
        <w:rPr>
          <w:lang w:val="es-AR"/>
        </w:rPr>
        <w:t xml:space="preserve">en exceso y defecto, según el caso, puede </w:t>
      </w:r>
      <w:r w:rsidR="001C0DAF">
        <w:rPr>
          <w:lang w:val="es-AR"/>
        </w:rPr>
        <w:t xml:space="preserve">muy posiblemente se deba </w:t>
      </w:r>
      <w:r>
        <w:rPr>
          <w:lang w:val="es-AR"/>
        </w:rPr>
        <w:t>a</w:t>
      </w:r>
      <w:r w:rsidR="001C0DAF">
        <w:rPr>
          <w:lang w:val="es-AR"/>
        </w:rPr>
        <w:t xml:space="preserve"> </w:t>
      </w:r>
      <w:r>
        <w:rPr>
          <w:lang w:val="es-AR"/>
        </w:rPr>
        <w:t xml:space="preserve">que el método indirecto </w:t>
      </w:r>
      <w:r w:rsidR="00611029">
        <w:rPr>
          <w:lang w:val="es-AR"/>
        </w:rPr>
        <w:t xml:space="preserve">(RTH2) </w:t>
      </w:r>
      <w:r>
        <w:rPr>
          <w:lang w:val="es-AR"/>
        </w:rPr>
        <w:t xml:space="preserve">no incluye la parte de la renta de la tierra materializada en los sobreprecios (con respecto a los valores que prevalecen en el mercado mundial) pagados por las empresas mineras a sus proveedores ni los diferenciales de precios de productos elaborados con gas </w:t>
      </w:r>
      <w:r w:rsidR="00B00E76">
        <w:rPr>
          <w:lang w:val="es-AR"/>
        </w:rPr>
        <w:t xml:space="preserve">natural </w:t>
      </w:r>
      <w:r>
        <w:rPr>
          <w:lang w:val="es-AR"/>
        </w:rPr>
        <w:t xml:space="preserve">consumidos en el mercado doméstico </w:t>
      </w:r>
      <w:r w:rsidR="0099488A">
        <w:rPr>
          <w:lang w:val="es-AR"/>
        </w:rPr>
        <w:t xml:space="preserve">con respecto a los precios mundiales </w:t>
      </w:r>
      <w:r w:rsidR="001C0DAF">
        <w:rPr>
          <w:lang w:val="es-AR"/>
        </w:rPr>
        <w:t xml:space="preserve">por </w:t>
      </w:r>
      <w:r w:rsidR="0099488A">
        <w:rPr>
          <w:lang w:val="es-AR"/>
        </w:rPr>
        <w:t xml:space="preserve">más allá </w:t>
      </w:r>
      <w:r w:rsidR="001C0DAF">
        <w:rPr>
          <w:lang w:val="es-AR"/>
        </w:rPr>
        <w:t xml:space="preserve">del impacto de </w:t>
      </w:r>
      <w:r>
        <w:rPr>
          <w:lang w:val="es-AR"/>
        </w:rPr>
        <w:t>la sobrevaluación</w:t>
      </w:r>
      <w:r w:rsidR="0099488A">
        <w:rPr>
          <w:lang w:val="es-AR"/>
        </w:rPr>
        <w:t xml:space="preserve"> del tipo cambio reflejado en el método indirecto</w:t>
      </w:r>
      <w:r>
        <w:rPr>
          <w:lang w:val="es-AR"/>
        </w:rPr>
        <w:t xml:space="preserve">. </w:t>
      </w:r>
      <w:r w:rsidR="00332BFE">
        <w:rPr>
          <w:lang w:val="es-AR"/>
        </w:rPr>
        <w:t>Como se vio más arriba, d</w:t>
      </w:r>
      <w:r w:rsidR="0099488A">
        <w:rPr>
          <w:lang w:val="es-AR"/>
        </w:rPr>
        <w:t>icha diferencia puede ser positiva, reforzando el efecto de la sobrevaluación, o negativa, compensándolo.</w:t>
      </w:r>
    </w:p>
    <w:p w14:paraId="2EACB28B" w14:textId="77777777" w:rsidR="000809FE" w:rsidRDefault="000809FE" w:rsidP="003D773B">
      <w:pPr>
        <w:jc w:val="both"/>
        <w:rPr>
          <w:lang w:val="es-AR"/>
        </w:rPr>
      </w:pPr>
    </w:p>
    <w:p w14:paraId="5261B718" w14:textId="2FC56B5D" w:rsidR="00AE3243" w:rsidRDefault="00AE3243" w:rsidP="003D773B">
      <w:pPr>
        <w:jc w:val="both"/>
        <w:rPr>
          <w:lang w:val="es-AR"/>
        </w:rPr>
      </w:pPr>
      <w:r>
        <w:rPr>
          <w:lang w:val="es-AR"/>
        </w:rPr>
        <w:t xml:space="preserve">3.4) Relación </w:t>
      </w:r>
      <w:r w:rsidR="00E43F8A">
        <w:rPr>
          <w:lang w:val="es-AR"/>
        </w:rPr>
        <w:t xml:space="preserve">cuantitativa </w:t>
      </w:r>
      <w:r>
        <w:rPr>
          <w:lang w:val="es-AR"/>
        </w:rPr>
        <w:t>entre la renta hidrocarburífera y la renta agraria</w:t>
      </w:r>
    </w:p>
    <w:p w14:paraId="4717BB0F" w14:textId="02ED4516" w:rsidR="00AE3243" w:rsidRDefault="000809FE" w:rsidP="003D773B">
      <w:pPr>
        <w:jc w:val="both"/>
        <w:rPr>
          <w:lang w:val="es-AR"/>
        </w:rPr>
      </w:pPr>
      <w:r>
        <w:rPr>
          <w:lang w:val="es-AR"/>
        </w:rPr>
        <w:t xml:space="preserve">El siguiente gráfico compara la magnitud de la renta hidrocarburífera apropiada por </w:t>
      </w:r>
      <w:r w:rsidR="00AC21F3">
        <w:rPr>
          <w:lang w:val="es-AR"/>
        </w:rPr>
        <w:t xml:space="preserve">distintos </w:t>
      </w:r>
      <w:r>
        <w:rPr>
          <w:lang w:val="es-AR"/>
        </w:rPr>
        <w:t xml:space="preserve">actores económicos con la renta de la tierra </w:t>
      </w:r>
      <w:r w:rsidR="00AC21F3">
        <w:rPr>
          <w:lang w:val="es-AR"/>
        </w:rPr>
        <w:t xml:space="preserve">agraria </w:t>
      </w:r>
      <w:r>
        <w:rPr>
          <w:lang w:val="es-AR"/>
        </w:rPr>
        <w:t xml:space="preserve">apropiada por actores económicos distintos de los </w:t>
      </w:r>
      <w:r w:rsidR="00AC21F3">
        <w:rPr>
          <w:lang w:val="es-AR"/>
        </w:rPr>
        <w:t>terratenientes</w:t>
      </w:r>
      <w:r w:rsidR="00F02073">
        <w:rPr>
          <w:lang w:val="es-AR"/>
        </w:rPr>
        <w:t xml:space="preserve">. </w:t>
      </w:r>
      <w:r w:rsidR="00AC21F3">
        <w:rPr>
          <w:lang w:val="es-AR"/>
        </w:rPr>
        <w:t>Para el periodo 1999-201</w:t>
      </w:r>
      <w:r w:rsidR="005F73AA">
        <w:rPr>
          <w:lang w:val="es-AR"/>
        </w:rPr>
        <w:t>0</w:t>
      </w:r>
      <w:r w:rsidR="00AC21F3">
        <w:rPr>
          <w:lang w:val="es-AR"/>
        </w:rPr>
        <w:t>, el gráfico a continuación también incluye la renta agraria total</w:t>
      </w:r>
      <w:r w:rsidR="005F73AA">
        <w:rPr>
          <w:lang w:val="es-AR"/>
        </w:rPr>
        <w:t>; es decir, la suma de la renta agraria apropiada por los terratenientes y por otros actores económicos</w:t>
      </w:r>
      <w:r w:rsidR="00AC21F3">
        <w:rPr>
          <w:lang w:val="es-AR"/>
        </w:rPr>
        <w:t>. Las dos</w:t>
      </w:r>
      <w:r w:rsidR="00F02073">
        <w:rPr>
          <w:lang w:val="es-AR"/>
        </w:rPr>
        <w:t xml:space="preserve"> última</w:t>
      </w:r>
      <w:r w:rsidR="00AC21F3">
        <w:rPr>
          <w:lang w:val="es-AR"/>
        </w:rPr>
        <w:t xml:space="preserve">s variables son </w:t>
      </w:r>
      <w:r w:rsidR="00F02073">
        <w:rPr>
          <w:lang w:val="es-AR"/>
        </w:rPr>
        <w:t>estimad</w:t>
      </w:r>
      <w:r w:rsidR="00486F30">
        <w:rPr>
          <w:lang w:val="es-AR"/>
        </w:rPr>
        <w:t>a</w:t>
      </w:r>
      <w:r w:rsidR="00AC21F3">
        <w:rPr>
          <w:lang w:val="es-AR"/>
        </w:rPr>
        <w:t>s</w:t>
      </w:r>
      <w:r w:rsidR="00F02073">
        <w:rPr>
          <w:lang w:val="es-AR"/>
        </w:rPr>
        <w:t xml:space="preserve"> en Grinberg (2021).</w:t>
      </w:r>
    </w:p>
    <w:p w14:paraId="5A8F1408" w14:textId="1B1F2E6C" w:rsidR="004A589C" w:rsidRDefault="00AD0233" w:rsidP="00AB6159">
      <w:pPr>
        <w:jc w:val="both"/>
        <w:rPr>
          <w:lang w:val="es-AR"/>
        </w:rPr>
      </w:pPr>
      <w:r>
        <w:rPr>
          <w:noProof/>
          <w:lang w:val="es-AR"/>
        </w:rPr>
        <w:t xml:space="preserve"> </w:t>
      </w:r>
    </w:p>
    <w:p w14:paraId="0E25636C" w14:textId="32D913D0" w:rsidR="00E00B15" w:rsidRDefault="00E00B15" w:rsidP="003D773B">
      <w:pPr>
        <w:jc w:val="both"/>
        <w:rPr>
          <w:lang w:val="es-AR"/>
        </w:rPr>
      </w:pPr>
    </w:p>
    <w:p w14:paraId="0B605CCE" w14:textId="0CCFDF36" w:rsidR="00FC05C3" w:rsidRDefault="005F73AA" w:rsidP="003D773B">
      <w:pPr>
        <w:jc w:val="both"/>
        <w:rPr>
          <w:lang w:val="es-AR"/>
        </w:rPr>
      </w:pPr>
      <w:r>
        <w:rPr>
          <w:noProof/>
        </w:rPr>
        <w:lastRenderedPageBreak/>
        <w:drawing>
          <wp:inline distT="0" distB="0" distL="0" distR="0" wp14:anchorId="1DB2D92F" wp14:editId="702E1499">
            <wp:extent cx="5040000" cy="2880000"/>
            <wp:effectExtent l="0" t="0" r="8255" b="15875"/>
            <wp:docPr id="1" name="Chart 1">
              <a:extLst xmlns:a="http://schemas.openxmlformats.org/drawingml/2006/main">
                <a:ext uri="{FF2B5EF4-FFF2-40B4-BE49-F238E27FC236}">
                  <a16:creationId xmlns:a16="http://schemas.microsoft.com/office/drawing/2014/main" id="{D47C2F84-D30E-430F-87D0-CDF6AFA35E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C35ECC" w14:textId="7E4603E1" w:rsidR="00AC21F3" w:rsidRPr="00AC21F3" w:rsidRDefault="00AC21F3" w:rsidP="00AC21F3">
      <w:pPr>
        <w:pBdr>
          <w:top w:val="single" w:sz="4" w:space="1" w:color="auto"/>
          <w:left w:val="single" w:sz="4" w:space="4" w:color="auto"/>
          <w:bottom w:val="single" w:sz="4" w:space="1" w:color="auto"/>
          <w:right w:val="single" w:sz="4" w:space="4" w:color="auto"/>
        </w:pBdr>
        <w:spacing w:after="0"/>
        <w:ind w:left="113" w:right="1191"/>
        <w:jc w:val="both"/>
        <w:rPr>
          <w:sz w:val="20"/>
          <w:szCs w:val="20"/>
          <w:lang w:val="es-AR"/>
        </w:rPr>
      </w:pPr>
      <w:r w:rsidRPr="00AC21F3">
        <w:rPr>
          <w:sz w:val="20"/>
          <w:szCs w:val="20"/>
          <w:lang w:val="es-AR"/>
        </w:rPr>
        <w:t>Referencias: RTH1: Renta de la tierra hidrocarburífera método directo; RTH2: Renta de la tierra hidrocarburífera método indirecto</w:t>
      </w:r>
      <w:r>
        <w:rPr>
          <w:sz w:val="20"/>
          <w:szCs w:val="20"/>
          <w:lang w:val="es-AR"/>
        </w:rPr>
        <w:t xml:space="preserve">; RAO: </w:t>
      </w:r>
      <w:r w:rsidRPr="00AC21F3">
        <w:rPr>
          <w:sz w:val="20"/>
          <w:szCs w:val="20"/>
          <w:lang w:val="es-AR"/>
        </w:rPr>
        <w:t xml:space="preserve">Renta de la tierra </w:t>
      </w:r>
      <w:r>
        <w:rPr>
          <w:sz w:val="20"/>
          <w:szCs w:val="20"/>
          <w:lang w:val="es-AR"/>
        </w:rPr>
        <w:t xml:space="preserve">agraria apropiada por actores económicos distintos de los terratenientes; RAT: </w:t>
      </w:r>
      <w:r w:rsidRPr="00AC21F3">
        <w:rPr>
          <w:sz w:val="20"/>
          <w:szCs w:val="20"/>
          <w:lang w:val="es-AR"/>
        </w:rPr>
        <w:t xml:space="preserve"> Renta de la tierra </w:t>
      </w:r>
      <w:r>
        <w:rPr>
          <w:sz w:val="20"/>
          <w:szCs w:val="20"/>
          <w:lang w:val="es-AR"/>
        </w:rPr>
        <w:t>agraria</w:t>
      </w:r>
      <w:r w:rsidRPr="00AC21F3">
        <w:rPr>
          <w:sz w:val="20"/>
          <w:szCs w:val="20"/>
          <w:lang w:val="es-AR"/>
        </w:rPr>
        <w:t xml:space="preserve"> </w:t>
      </w:r>
      <w:r>
        <w:rPr>
          <w:sz w:val="20"/>
          <w:szCs w:val="20"/>
          <w:lang w:val="es-AR"/>
        </w:rPr>
        <w:t>total</w:t>
      </w:r>
      <w:r w:rsidRPr="00AC21F3">
        <w:rPr>
          <w:sz w:val="20"/>
          <w:szCs w:val="20"/>
          <w:lang w:val="es-AR"/>
        </w:rPr>
        <w:t>.</w:t>
      </w:r>
    </w:p>
    <w:p w14:paraId="6E1C0753" w14:textId="77777777" w:rsidR="0034307C" w:rsidRDefault="0034307C" w:rsidP="003D773B">
      <w:pPr>
        <w:jc w:val="both"/>
        <w:rPr>
          <w:lang w:val="es-AR"/>
        </w:rPr>
      </w:pPr>
    </w:p>
    <w:p w14:paraId="0466AE3B" w14:textId="1B0E0C51" w:rsidR="00AC21F3" w:rsidRDefault="00AC21F3" w:rsidP="003D773B">
      <w:pPr>
        <w:jc w:val="both"/>
        <w:rPr>
          <w:highlight w:val="yellow"/>
          <w:lang w:val="es-AR"/>
        </w:rPr>
      </w:pPr>
      <w:r w:rsidRPr="005F73AA">
        <w:rPr>
          <w:lang w:val="es-AR"/>
        </w:rPr>
        <w:t xml:space="preserve">Puede observarse en el gráfico anterior </w:t>
      </w:r>
      <w:r w:rsidR="005F73AA" w:rsidRPr="005F73AA">
        <w:rPr>
          <w:lang w:val="es-AR"/>
        </w:rPr>
        <w:t>que, durante el periodo estudiado en el presente trabajo, la renta de las tierras hidrocarburíferas fue mayor que la renta de las tierras agrarias.</w:t>
      </w:r>
      <w:r w:rsidR="005F73AA">
        <w:rPr>
          <w:lang w:val="es-AR"/>
        </w:rPr>
        <w:t xml:space="preserve"> </w:t>
      </w:r>
    </w:p>
    <w:p w14:paraId="7946714C" w14:textId="77777777" w:rsidR="000809FE" w:rsidRDefault="000809FE" w:rsidP="003D773B">
      <w:pPr>
        <w:jc w:val="both"/>
        <w:rPr>
          <w:lang w:val="es-AR"/>
        </w:rPr>
      </w:pPr>
    </w:p>
    <w:p w14:paraId="083A3939" w14:textId="235D38EB" w:rsidR="00AE3243" w:rsidRDefault="00AE3243" w:rsidP="003D773B">
      <w:pPr>
        <w:jc w:val="both"/>
        <w:rPr>
          <w:lang w:val="es-AR"/>
        </w:rPr>
      </w:pPr>
      <w:r>
        <w:rPr>
          <w:lang w:val="es-AR"/>
        </w:rPr>
        <w:t xml:space="preserve">3.5) Relación </w:t>
      </w:r>
      <w:r w:rsidR="00E43F8A">
        <w:rPr>
          <w:lang w:val="es-AR"/>
        </w:rPr>
        <w:t xml:space="preserve">cuantitativa </w:t>
      </w:r>
      <w:r>
        <w:rPr>
          <w:lang w:val="es-AR"/>
        </w:rPr>
        <w:t>entre la renta hidrocarburífera y plusvalía total</w:t>
      </w:r>
    </w:p>
    <w:p w14:paraId="01432500" w14:textId="1BF32DB4" w:rsidR="000809FE" w:rsidRDefault="000809FE" w:rsidP="003D773B">
      <w:pPr>
        <w:jc w:val="both"/>
        <w:rPr>
          <w:lang w:val="es-AR"/>
        </w:rPr>
      </w:pPr>
      <w:r>
        <w:rPr>
          <w:lang w:val="es-AR"/>
        </w:rPr>
        <w:t xml:space="preserve">El siguiente gráfico compara la magnitud de las estimaciones de la renta hidrocarburífera apropiada </w:t>
      </w:r>
      <w:r w:rsidR="005F73AA">
        <w:rPr>
          <w:lang w:val="es-AR"/>
        </w:rPr>
        <w:t xml:space="preserve">distintos </w:t>
      </w:r>
      <w:r>
        <w:rPr>
          <w:lang w:val="es-AR"/>
        </w:rPr>
        <w:t>actores económicos con la plusvalía total apropiada en la economía brasileña.</w:t>
      </w:r>
      <w:r w:rsidR="00F02073" w:rsidRPr="00F02073">
        <w:rPr>
          <w:lang w:val="es-AR"/>
        </w:rPr>
        <w:t xml:space="preserve"> </w:t>
      </w:r>
      <w:r w:rsidR="00F02073">
        <w:rPr>
          <w:lang w:val="es-AR"/>
        </w:rPr>
        <w:t>Esta última es estimad</w:t>
      </w:r>
      <w:r w:rsidR="00486F30">
        <w:rPr>
          <w:lang w:val="es-AR"/>
        </w:rPr>
        <w:t>a</w:t>
      </w:r>
      <w:r w:rsidR="00F02073">
        <w:rPr>
          <w:lang w:val="es-AR"/>
        </w:rPr>
        <w:t xml:space="preserve"> en Grinberg (2021).</w:t>
      </w:r>
    </w:p>
    <w:p w14:paraId="04165E37" w14:textId="44F098F4" w:rsidR="00840A88" w:rsidRDefault="00774669" w:rsidP="003D773B">
      <w:pPr>
        <w:jc w:val="both"/>
        <w:rPr>
          <w:lang w:val="es-AR"/>
        </w:rPr>
      </w:pPr>
      <w:r>
        <w:rPr>
          <w:lang w:val="es-AR"/>
        </w:rPr>
        <w:t xml:space="preserve"> </w:t>
      </w:r>
    </w:p>
    <w:p w14:paraId="69810925" w14:textId="1644AA3F" w:rsidR="00840A88" w:rsidRDefault="00444D3C" w:rsidP="003D773B">
      <w:pPr>
        <w:jc w:val="both"/>
        <w:rPr>
          <w:lang w:val="es-AR"/>
        </w:rPr>
      </w:pPr>
      <w:r w:rsidRPr="005F73AA">
        <w:rPr>
          <w:noProof/>
          <w:lang w:val="es-AR"/>
        </w:rPr>
        <w:t xml:space="preserve"> </w:t>
      </w:r>
    </w:p>
    <w:p w14:paraId="2724E887" w14:textId="1788B04C" w:rsidR="00AB6159" w:rsidRDefault="0034307C" w:rsidP="003D773B">
      <w:pPr>
        <w:jc w:val="both"/>
        <w:rPr>
          <w:highlight w:val="yellow"/>
          <w:lang w:val="es-AR"/>
        </w:rPr>
      </w:pPr>
      <w:r>
        <w:rPr>
          <w:noProof/>
        </w:rPr>
        <w:lastRenderedPageBreak/>
        <w:drawing>
          <wp:inline distT="0" distB="0" distL="0" distR="0" wp14:anchorId="3DEF8BB2" wp14:editId="2844A57B">
            <wp:extent cx="5040000" cy="2880000"/>
            <wp:effectExtent l="0" t="0" r="8255" b="15875"/>
            <wp:docPr id="5" name="Chart 5">
              <a:extLst xmlns:a="http://schemas.openxmlformats.org/drawingml/2006/main">
                <a:ext uri="{FF2B5EF4-FFF2-40B4-BE49-F238E27FC236}">
                  <a16:creationId xmlns:a16="http://schemas.microsoft.com/office/drawing/2014/main" id="{76228C7E-5A9B-4478-B694-F02BCE57E5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7C2622" w14:textId="77777777" w:rsidR="00BF23C0" w:rsidRPr="00AC21F3" w:rsidRDefault="00BF23C0" w:rsidP="00BF23C0">
      <w:pPr>
        <w:pBdr>
          <w:top w:val="single" w:sz="4" w:space="1" w:color="auto"/>
          <w:left w:val="single" w:sz="4" w:space="4" w:color="auto"/>
          <w:bottom w:val="single" w:sz="4" w:space="1" w:color="auto"/>
          <w:right w:val="single" w:sz="4" w:space="4" w:color="auto"/>
        </w:pBdr>
        <w:spacing w:after="0"/>
        <w:ind w:left="113" w:right="1191"/>
        <w:jc w:val="both"/>
        <w:rPr>
          <w:sz w:val="20"/>
          <w:szCs w:val="20"/>
          <w:lang w:val="es-AR"/>
        </w:rPr>
      </w:pPr>
      <w:r w:rsidRPr="00AC21F3">
        <w:rPr>
          <w:sz w:val="20"/>
          <w:szCs w:val="20"/>
          <w:lang w:val="es-AR"/>
        </w:rPr>
        <w:t>Referencias: RTH1: Renta de la tierra hidrocarburífera método directo; RTH1’: Renta de la tierra hidrocarburífera método directo alternativo; RTH2: Renta de la tierra hidrocarburífera método indirecto.</w:t>
      </w:r>
    </w:p>
    <w:p w14:paraId="71E01B17" w14:textId="77777777" w:rsidR="00BF23C0" w:rsidRDefault="00BF23C0" w:rsidP="003D773B">
      <w:pPr>
        <w:jc w:val="both"/>
        <w:rPr>
          <w:highlight w:val="yellow"/>
          <w:lang w:val="es-AR"/>
        </w:rPr>
      </w:pPr>
    </w:p>
    <w:p w14:paraId="2FD84EC5" w14:textId="0B597BC7" w:rsidR="005F73AA" w:rsidRDefault="005F73AA" w:rsidP="003D773B">
      <w:pPr>
        <w:jc w:val="both"/>
        <w:rPr>
          <w:lang w:val="es-AR"/>
        </w:rPr>
      </w:pPr>
      <w:r w:rsidRPr="005F73AA">
        <w:rPr>
          <w:lang w:val="es-AR"/>
        </w:rPr>
        <w:t>Puede observarse en el gráfico anterior que, durante el periodo estudiado en el presente trabajo, la renta de las tierras hidrocarburíferas</w:t>
      </w:r>
      <w:r>
        <w:rPr>
          <w:lang w:val="es-AR"/>
        </w:rPr>
        <w:t xml:space="preserve"> constituyó el 5-6% de la plusvalía total; promediando 8-9% durante 2007-2014 cuando los precios internacionales de las mercancías primarias experimentaron un fuerte incremento.</w:t>
      </w:r>
    </w:p>
    <w:p w14:paraId="02EE31ED" w14:textId="77777777" w:rsidR="005F73AA" w:rsidRDefault="005F73AA" w:rsidP="003D773B">
      <w:pPr>
        <w:jc w:val="both"/>
        <w:rPr>
          <w:lang w:val="es-AR"/>
        </w:rPr>
      </w:pPr>
    </w:p>
    <w:p w14:paraId="28A2FDBF" w14:textId="064E3360" w:rsidR="00AE3243" w:rsidRDefault="00E43F8A" w:rsidP="003D773B">
      <w:pPr>
        <w:jc w:val="both"/>
        <w:rPr>
          <w:lang w:val="es-AR"/>
        </w:rPr>
      </w:pPr>
      <w:r>
        <w:rPr>
          <w:lang w:val="es-AR"/>
        </w:rPr>
        <w:t xml:space="preserve">4) </w:t>
      </w:r>
      <w:r w:rsidR="00BF23C0">
        <w:rPr>
          <w:lang w:val="es-AR"/>
        </w:rPr>
        <w:t>Resumen y c</w:t>
      </w:r>
      <w:r>
        <w:rPr>
          <w:lang w:val="es-AR"/>
        </w:rPr>
        <w:t>onclusiones</w:t>
      </w:r>
    </w:p>
    <w:p w14:paraId="0115A61F" w14:textId="7FB2DB8F" w:rsidR="00BF23C0" w:rsidRDefault="00A72562" w:rsidP="003D773B">
      <w:pPr>
        <w:jc w:val="both"/>
        <w:rPr>
          <w:lang w:val="es-AR"/>
        </w:rPr>
      </w:pPr>
      <w:r>
        <w:rPr>
          <w:lang w:val="es-AR"/>
        </w:rPr>
        <w:t>El presente trabajo presentó una estimación de la renta de tierra hidrocarburífera en Brasil durante 1999-2015. Durante este periodo Brasil pasó de ser una economía importadora de hidrocarburos a ser una exportadora de</w:t>
      </w:r>
      <w:r w:rsidRPr="00A72562">
        <w:rPr>
          <w:lang w:val="es-AR"/>
        </w:rPr>
        <w:t xml:space="preserve"> </w:t>
      </w:r>
      <w:r>
        <w:rPr>
          <w:lang w:val="es-AR"/>
        </w:rPr>
        <w:t xml:space="preserve">hidrocarburos y derivados gracias al descubrimiento de reservas colosales en su plataforma continental. Dos metodologías bajo distintas hipótesis fueron desarrolladas para llevar a cabo dicha estimación. Por medio de una de ellas, el método indirecto, pudo observarse </w:t>
      </w:r>
      <w:r w:rsidR="000F4244">
        <w:rPr>
          <w:lang w:val="es-AR"/>
        </w:rPr>
        <w:t xml:space="preserve">el </w:t>
      </w:r>
      <w:r>
        <w:rPr>
          <w:lang w:val="es-AR"/>
        </w:rPr>
        <w:t>curso seguido por la apropiación de la renta hidrocarburífera por distintos actores económicos y medirse las magnitudes respectivas. El presente trabajo no s</w:t>
      </w:r>
      <w:r w:rsidR="000F4244">
        <w:rPr>
          <w:lang w:val="es-AR"/>
        </w:rPr>
        <w:t>ó</w:t>
      </w:r>
      <w:r>
        <w:rPr>
          <w:lang w:val="es-AR"/>
        </w:rPr>
        <w:t>lo confirmó el fuerte crecimiento de la renta de la tierra hidrocarburífera en Brasil sino también que su peso en la plusvalía total</w:t>
      </w:r>
      <w:r w:rsidR="000F4244">
        <w:rPr>
          <w:lang w:val="es-AR"/>
        </w:rPr>
        <w:t xml:space="preserve"> apropiada en la economía Brasileira</w:t>
      </w:r>
      <w:r>
        <w:rPr>
          <w:lang w:val="es-AR"/>
        </w:rPr>
        <w:t xml:space="preserve"> ha superado al de la renta agraria.</w:t>
      </w:r>
    </w:p>
    <w:p w14:paraId="033D7A5D" w14:textId="77777777" w:rsidR="003E4F0F" w:rsidRDefault="003E4F0F" w:rsidP="003D773B">
      <w:pPr>
        <w:jc w:val="both"/>
        <w:rPr>
          <w:lang w:val="es-AR"/>
        </w:rPr>
      </w:pPr>
    </w:p>
    <w:p w14:paraId="54764F33" w14:textId="58C0086E" w:rsidR="003E4F0F" w:rsidRDefault="00BF23C0" w:rsidP="003D773B">
      <w:pPr>
        <w:jc w:val="both"/>
        <w:rPr>
          <w:lang w:val="es-AR"/>
        </w:rPr>
      </w:pPr>
      <w:r>
        <w:rPr>
          <w:lang w:val="es-AR"/>
        </w:rPr>
        <w:t xml:space="preserve">5) </w:t>
      </w:r>
      <w:r w:rsidR="003E4F0F">
        <w:rPr>
          <w:lang w:val="es-AR"/>
        </w:rPr>
        <w:t>Bibliografía</w:t>
      </w:r>
    </w:p>
    <w:p w14:paraId="595378A7" w14:textId="36C4BD6C" w:rsidR="003E4F0F" w:rsidRDefault="003E4F0F" w:rsidP="003D773B">
      <w:pPr>
        <w:jc w:val="both"/>
        <w:rPr>
          <w:lang w:val="es-AR"/>
        </w:rPr>
      </w:pPr>
      <w:proofErr w:type="spellStart"/>
      <w:r>
        <w:rPr>
          <w:lang w:val="es-AR"/>
        </w:rPr>
        <w:t>Altomonte</w:t>
      </w:r>
      <w:proofErr w:type="spellEnd"/>
      <w:r>
        <w:rPr>
          <w:lang w:val="es-AR"/>
        </w:rPr>
        <w:t xml:space="preserve">, H. y J. </w:t>
      </w:r>
      <w:proofErr w:type="spellStart"/>
      <w:r>
        <w:rPr>
          <w:lang w:val="es-AR"/>
        </w:rPr>
        <w:t>Rogat</w:t>
      </w:r>
      <w:proofErr w:type="spellEnd"/>
      <w:r>
        <w:rPr>
          <w:lang w:val="es-AR"/>
        </w:rPr>
        <w:t xml:space="preserve"> (2004), ‘Políticas de precios de combustibles en América del Sur y México: implicancias económicas y ambientales’, CEPAL Serie manuales 35.</w:t>
      </w:r>
    </w:p>
    <w:p w14:paraId="00B5AC2A" w14:textId="068CBDC3" w:rsidR="003E4F0F" w:rsidRPr="003E4F0F" w:rsidRDefault="003E4F0F" w:rsidP="003D773B">
      <w:pPr>
        <w:jc w:val="both"/>
      </w:pPr>
      <w:r w:rsidRPr="003E4F0F">
        <w:t xml:space="preserve">Grinberg, N. (2021), </w:t>
      </w:r>
      <w:r>
        <w:t>‘</w:t>
      </w:r>
      <w:r w:rsidRPr="003E4F0F">
        <w:t>Transformations in the Brazilian and Korean Processes of Capitalist Development: Global Capital Accumulation and Late-industrialisation’</w:t>
      </w:r>
      <w:r>
        <w:t>, Historical Materialism Book Series, Leiden: Brill.</w:t>
      </w:r>
    </w:p>
    <w:p w14:paraId="16BCB1B8" w14:textId="77777777" w:rsidR="003E4F0F" w:rsidRPr="003E4F0F" w:rsidRDefault="003E4F0F" w:rsidP="003D773B">
      <w:pPr>
        <w:jc w:val="both"/>
      </w:pPr>
    </w:p>
    <w:p w14:paraId="06C33590" w14:textId="04107DDF" w:rsidR="00BF23C0" w:rsidRPr="00442084" w:rsidRDefault="003E4F0F" w:rsidP="003D773B">
      <w:pPr>
        <w:jc w:val="both"/>
      </w:pPr>
      <w:r w:rsidRPr="00442084">
        <w:t xml:space="preserve">6) </w:t>
      </w:r>
      <w:r w:rsidR="00BF23C0" w:rsidRPr="00442084">
        <w:t>Fuentes</w:t>
      </w:r>
      <w:r w:rsidRPr="00442084">
        <w:t xml:space="preserve"> </w:t>
      </w:r>
      <w:proofErr w:type="spellStart"/>
      <w:r w:rsidRPr="00442084">
        <w:t>estadísticas</w:t>
      </w:r>
      <w:proofErr w:type="spellEnd"/>
    </w:p>
    <w:p w14:paraId="56699B8A" w14:textId="540B6B92" w:rsidR="003E4F0F" w:rsidRPr="00442084" w:rsidRDefault="003E4F0F" w:rsidP="003D773B">
      <w:pPr>
        <w:jc w:val="both"/>
      </w:pPr>
      <w:r w:rsidRPr="00442084">
        <w:t>Petrobras, ‘Petrobras at a Glance’, HSBC Latin American Investment Summit.</w:t>
      </w:r>
    </w:p>
    <w:p w14:paraId="759AA18B" w14:textId="39AD9A76" w:rsidR="00BF23C0" w:rsidRPr="00442084" w:rsidRDefault="00BF23C0" w:rsidP="003D773B">
      <w:pPr>
        <w:jc w:val="both"/>
      </w:pPr>
      <w:r w:rsidRPr="00442084">
        <w:t>Petrobras</w:t>
      </w:r>
      <w:r w:rsidR="003E4F0F" w:rsidRPr="00442084">
        <w:t>, Financial Statements.</w:t>
      </w:r>
    </w:p>
    <w:p w14:paraId="4C5CF81C" w14:textId="48A346E7" w:rsidR="00BF23C0" w:rsidRPr="00442084" w:rsidRDefault="003E4F0F" w:rsidP="003D773B">
      <w:pPr>
        <w:jc w:val="both"/>
      </w:pPr>
      <w:proofErr w:type="spellStart"/>
      <w:r w:rsidRPr="00442084">
        <w:t>Agencia</w:t>
      </w:r>
      <w:proofErr w:type="spellEnd"/>
      <w:r w:rsidRPr="00442084">
        <w:t xml:space="preserve"> Nacional de </w:t>
      </w:r>
      <w:proofErr w:type="spellStart"/>
      <w:r w:rsidRPr="00442084">
        <w:t>Petróleo</w:t>
      </w:r>
      <w:proofErr w:type="spellEnd"/>
      <w:r w:rsidRPr="00442084">
        <w:t xml:space="preserve">, Gas Natural y </w:t>
      </w:r>
      <w:proofErr w:type="spellStart"/>
      <w:r w:rsidRPr="00442084">
        <w:t>Biocombustibles</w:t>
      </w:r>
      <w:proofErr w:type="spellEnd"/>
      <w:r w:rsidRPr="00442084">
        <w:t xml:space="preserve">, </w:t>
      </w:r>
      <w:proofErr w:type="spellStart"/>
      <w:r w:rsidRPr="00442084">
        <w:t>Anuario</w:t>
      </w:r>
      <w:proofErr w:type="spellEnd"/>
      <w:r w:rsidRPr="00442084">
        <w:t xml:space="preserve"> </w:t>
      </w:r>
      <w:proofErr w:type="spellStart"/>
      <w:r w:rsidRPr="00442084">
        <w:t>Estadístico</w:t>
      </w:r>
      <w:proofErr w:type="spellEnd"/>
    </w:p>
    <w:p w14:paraId="73471C84" w14:textId="552A9D8C" w:rsidR="003E4F0F" w:rsidRDefault="003E4F0F" w:rsidP="003D773B">
      <w:pPr>
        <w:jc w:val="both"/>
        <w:rPr>
          <w:lang w:val="es-AR"/>
        </w:rPr>
      </w:pPr>
      <w:r w:rsidRPr="003E4F0F">
        <w:rPr>
          <w:lang w:val="es-AR"/>
        </w:rPr>
        <w:t xml:space="preserve">Energy </w:t>
      </w:r>
      <w:proofErr w:type="spellStart"/>
      <w:r w:rsidRPr="003E4F0F">
        <w:rPr>
          <w:lang w:val="es-AR"/>
        </w:rPr>
        <w:t>Information</w:t>
      </w:r>
      <w:proofErr w:type="spellEnd"/>
      <w:r w:rsidRPr="003E4F0F">
        <w:rPr>
          <w:lang w:val="es-AR"/>
        </w:rPr>
        <w:t xml:space="preserve"> </w:t>
      </w:r>
      <w:proofErr w:type="spellStart"/>
      <w:r w:rsidRPr="003E4F0F">
        <w:rPr>
          <w:lang w:val="es-AR"/>
        </w:rPr>
        <w:t>Administration</w:t>
      </w:r>
      <w:proofErr w:type="spellEnd"/>
      <w:r>
        <w:rPr>
          <w:lang w:val="es-AR"/>
        </w:rPr>
        <w:t>.</w:t>
      </w:r>
    </w:p>
    <w:p w14:paraId="214744D5" w14:textId="6215B213" w:rsidR="00BF23C0" w:rsidRPr="000F4244" w:rsidRDefault="00BF23C0" w:rsidP="003D773B">
      <w:pPr>
        <w:jc w:val="both"/>
        <w:rPr>
          <w:lang w:val="pt-BR"/>
        </w:rPr>
      </w:pPr>
      <w:r w:rsidRPr="000F4244">
        <w:rPr>
          <w:lang w:val="pt-BR"/>
        </w:rPr>
        <w:t>I</w:t>
      </w:r>
      <w:r w:rsidR="000F4244" w:rsidRPr="000F4244">
        <w:rPr>
          <w:lang w:val="pt-BR"/>
        </w:rPr>
        <w:t>nstituto de Pesquisa Economica Aplicada, I</w:t>
      </w:r>
      <w:r w:rsidRPr="000F4244">
        <w:rPr>
          <w:lang w:val="pt-BR"/>
        </w:rPr>
        <w:t>PEADATA</w:t>
      </w:r>
    </w:p>
    <w:sectPr w:rsidR="00BF23C0" w:rsidRPr="000F42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ECB0" w14:textId="77777777" w:rsidR="00BA7002" w:rsidRDefault="00BA7002" w:rsidP="00037614">
      <w:pPr>
        <w:spacing w:after="0" w:line="240" w:lineRule="auto"/>
      </w:pPr>
      <w:r>
        <w:separator/>
      </w:r>
    </w:p>
  </w:endnote>
  <w:endnote w:type="continuationSeparator" w:id="0">
    <w:p w14:paraId="3741DFF0" w14:textId="77777777" w:rsidR="00BA7002" w:rsidRDefault="00BA7002" w:rsidP="0003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EAB5" w14:textId="77777777" w:rsidR="00BA7002" w:rsidRDefault="00BA7002" w:rsidP="00037614">
      <w:pPr>
        <w:spacing w:after="0" w:line="240" w:lineRule="auto"/>
      </w:pPr>
      <w:r>
        <w:separator/>
      </w:r>
    </w:p>
  </w:footnote>
  <w:footnote w:type="continuationSeparator" w:id="0">
    <w:p w14:paraId="48339A5E" w14:textId="77777777" w:rsidR="00BA7002" w:rsidRDefault="00BA7002" w:rsidP="000376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4"/>
    <w:rsid w:val="0003011E"/>
    <w:rsid w:val="00037614"/>
    <w:rsid w:val="000379B4"/>
    <w:rsid w:val="000440AC"/>
    <w:rsid w:val="000809FE"/>
    <w:rsid w:val="000A3843"/>
    <w:rsid w:val="000B71AF"/>
    <w:rsid w:val="000D34A9"/>
    <w:rsid w:val="000D3C87"/>
    <w:rsid w:val="000F4244"/>
    <w:rsid w:val="00135057"/>
    <w:rsid w:val="00146BA5"/>
    <w:rsid w:val="0014735D"/>
    <w:rsid w:val="001A0E36"/>
    <w:rsid w:val="001C0DAF"/>
    <w:rsid w:val="00246FB0"/>
    <w:rsid w:val="002801F5"/>
    <w:rsid w:val="002908A9"/>
    <w:rsid w:val="0029345A"/>
    <w:rsid w:val="002A569C"/>
    <w:rsid w:val="002B2FF2"/>
    <w:rsid w:val="002B5993"/>
    <w:rsid w:val="00300F19"/>
    <w:rsid w:val="00332BFE"/>
    <w:rsid w:val="00333C91"/>
    <w:rsid w:val="0034307C"/>
    <w:rsid w:val="003C357C"/>
    <w:rsid w:val="003D773B"/>
    <w:rsid w:val="003E4F0F"/>
    <w:rsid w:val="00442084"/>
    <w:rsid w:val="00444D3C"/>
    <w:rsid w:val="00486F30"/>
    <w:rsid w:val="0049197E"/>
    <w:rsid w:val="004A589C"/>
    <w:rsid w:val="004A682B"/>
    <w:rsid w:val="004F343F"/>
    <w:rsid w:val="00525F2F"/>
    <w:rsid w:val="005C1F64"/>
    <w:rsid w:val="005C4AD5"/>
    <w:rsid w:val="005D3F4B"/>
    <w:rsid w:val="005F73AA"/>
    <w:rsid w:val="00611029"/>
    <w:rsid w:val="006526A0"/>
    <w:rsid w:val="00653499"/>
    <w:rsid w:val="0065411C"/>
    <w:rsid w:val="00687FFD"/>
    <w:rsid w:val="00692C5B"/>
    <w:rsid w:val="00696063"/>
    <w:rsid w:val="006B3D7E"/>
    <w:rsid w:val="006C70C8"/>
    <w:rsid w:val="006E7B97"/>
    <w:rsid w:val="00721C9E"/>
    <w:rsid w:val="007651A2"/>
    <w:rsid w:val="00774669"/>
    <w:rsid w:val="00784C1E"/>
    <w:rsid w:val="00784CC1"/>
    <w:rsid w:val="007A087D"/>
    <w:rsid w:val="00800B84"/>
    <w:rsid w:val="00823E62"/>
    <w:rsid w:val="00835AE8"/>
    <w:rsid w:val="00840A88"/>
    <w:rsid w:val="00841C55"/>
    <w:rsid w:val="008476F7"/>
    <w:rsid w:val="0088061E"/>
    <w:rsid w:val="00897306"/>
    <w:rsid w:val="00916512"/>
    <w:rsid w:val="00936390"/>
    <w:rsid w:val="0099488A"/>
    <w:rsid w:val="009F0DD4"/>
    <w:rsid w:val="00A25039"/>
    <w:rsid w:val="00A72562"/>
    <w:rsid w:val="00A97773"/>
    <w:rsid w:val="00AB6159"/>
    <w:rsid w:val="00AC21F3"/>
    <w:rsid w:val="00AC4815"/>
    <w:rsid w:val="00AC5CDC"/>
    <w:rsid w:val="00AD0233"/>
    <w:rsid w:val="00AE3243"/>
    <w:rsid w:val="00B00E76"/>
    <w:rsid w:val="00B4538E"/>
    <w:rsid w:val="00B511B2"/>
    <w:rsid w:val="00B544DD"/>
    <w:rsid w:val="00B67D30"/>
    <w:rsid w:val="00B85B16"/>
    <w:rsid w:val="00B94142"/>
    <w:rsid w:val="00BA044F"/>
    <w:rsid w:val="00BA2D1B"/>
    <w:rsid w:val="00BA68ED"/>
    <w:rsid w:val="00BA7002"/>
    <w:rsid w:val="00BD6C7D"/>
    <w:rsid w:val="00BF23C0"/>
    <w:rsid w:val="00BF2679"/>
    <w:rsid w:val="00C0151B"/>
    <w:rsid w:val="00C21742"/>
    <w:rsid w:val="00C65502"/>
    <w:rsid w:val="00C915D7"/>
    <w:rsid w:val="00CA29E8"/>
    <w:rsid w:val="00CE141D"/>
    <w:rsid w:val="00CE2FB5"/>
    <w:rsid w:val="00CF5E90"/>
    <w:rsid w:val="00D52A5C"/>
    <w:rsid w:val="00D5433E"/>
    <w:rsid w:val="00D65CFF"/>
    <w:rsid w:val="00D849B0"/>
    <w:rsid w:val="00D90877"/>
    <w:rsid w:val="00DB5AAB"/>
    <w:rsid w:val="00DF5500"/>
    <w:rsid w:val="00E00B15"/>
    <w:rsid w:val="00E1174A"/>
    <w:rsid w:val="00E43F8A"/>
    <w:rsid w:val="00E661B6"/>
    <w:rsid w:val="00E67EBD"/>
    <w:rsid w:val="00E96C2F"/>
    <w:rsid w:val="00EC0FFC"/>
    <w:rsid w:val="00F02073"/>
    <w:rsid w:val="00F77100"/>
    <w:rsid w:val="00F911F7"/>
    <w:rsid w:val="00FC05C3"/>
    <w:rsid w:val="00FC1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1E61"/>
  <w15:chartTrackingRefBased/>
  <w15:docId w15:val="{7038B4AF-DA65-445D-9BA3-AB57AEB6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614"/>
  </w:style>
  <w:style w:type="paragraph" w:styleId="Footer">
    <w:name w:val="footer"/>
    <w:basedOn w:val="Normal"/>
    <w:link w:val="FooterChar"/>
    <w:uiPriority w:val="99"/>
    <w:unhideWhenUsed/>
    <w:rsid w:val="0003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614"/>
  </w:style>
  <w:style w:type="table" w:styleId="TableGrid">
    <w:name w:val="Table Grid"/>
    <w:basedOn w:val="TableNormal"/>
    <w:uiPriority w:val="39"/>
    <w:rsid w:val="00B8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3652">
      <w:bodyDiv w:val="1"/>
      <w:marLeft w:val="0"/>
      <w:marRight w:val="0"/>
      <w:marTop w:val="0"/>
      <w:marBottom w:val="0"/>
      <w:divBdr>
        <w:top w:val="none" w:sz="0" w:space="0" w:color="auto"/>
        <w:left w:val="none" w:sz="0" w:space="0" w:color="auto"/>
        <w:bottom w:val="none" w:sz="0" w:space="0" w:color="auto"/>
        <w:right w:val="none" w:sz="0" w:space="0" w:color="auto"/>
      </w:divBdr>
    </w:div>
    <w:div w:id="692878994">
      <w:bodyDiv w:val="1"/>
      <w:marLeft w:val="0"/>
      <w:marRight w:val="0"/>
      <w:marTop w:val="0"/>
      <w:marBottom w:val="0"/>
      <w:divBdr>
        <w:top w:val="none" w:sz="0" w:space="0" w:color="auto"/>
        <w:left w:val="none" w:sz="0" w:space="0" w:color="auto"/>
        <w:bottom w:val="none" w:sz="0" w:space="0" w:color="auto"/>
        <w:right w:val="none" w:sz="0" w:space="0" w:color="auto"/>
      </w:divBdr>
    </w:div>
    <w:div w:id="778180385">
      <w:bodyDiv w:val="1"/>
      <w:marLeft w:val="0"/>
      <w:marRight w:val="0"/>
      <w:marTop w:val="0"/>
      <w:marBottom w:val="0"/>
      <w:divBdr>
        <w:top w:val="none" w:sz="0" w:space="0" w:color="auto"/>
        <w:left w:val="none" w:sz="0" w:space="0" w:color="auto"/>
        <w:bottom w:val="none" w:sz="0" w:space="0" w:color="auto"/>
        <w:right w:val="none" w:sz="0" w:space="0" w:color="auto"/>
      </w:divBdr>
    </w:div>
    <w:div w:id="937372966">
      <w:bodyDiv w:val="1"/>
      <w:marLeft w:val="0"/>
      <w:marRight w:val="0"/>
      <w:marTop w:val="0"/>
      <w:marBottom w:val="0"/>
      <w:divBdr>
        <w:top w:val="none" w:sz="0" w:space="0" w:color="auto"/>
        <w:left w:val="none" w:sz="0" w:space="0" w:color="auto"/>
        <w:bottom w:val="none" w:sz="0" w:space="0" w:color="auto"/>
        <w:right w:val="none" w:sz="0" w:space="0" w:color="auto"/>
      </w:divBdr>
    </w:div>
    <w:div w:id="939028232">
      <w:bodyDiv w:val="1"/>
      <w:marLeft w:val="0"/>
      <w:marRight w:val="0"/>
      <w:marTop w:val="0"/>
      <w:marBottom w:val="0"/>
      <w:divBdr>
        <w:top w:val="none" w:sz="0" w:space="0" w:color="auto"/>
        <w:left w:val="none" w:sz="0" w:space="0" w:color="auto"/>
        <w:bottom w:val="none" w:sz="0" w:space="0" w:color="auto"/>
        <w:right w:val="none" w:sz="0" w:space="0" w:color="auto"/>
      </w:divBdr>
    </w:div>
    <w:div w:id="1236861654">
      <w:bodyDiv w:val="1"/>
      <w:marLeft w:val="0"/>
      <w:marRight w:val="0"/>
      <w:marTop w:val="0"/>
      <w:marBottom w:val="0"/>
      <w:divBdr>
        <w:top w:val="none" w:sz="0" w:space="0" w:color="auto"/>
        <w:left w:val="none" w:sz="0" w:space="0" w:color="auto"/>
        <w:bottom w:val="none" w:sz="0" w:space="0" w:color="auto"/>
        <w:right w:val="none" w:sz="0" w:space="0" w:color="auto"/>
      </w:divBdr>
    </w:div>
    <w:div w:id="1676375254">
      <w:bodyDiv w:val="1"/>
      <w:marLeft w:val="0"/>
      <w:marRight w:val="0"/>
      <w:marTop w:val="0"/>
      <w:marBottom w:val="0"/>
      <w:divBdr>
        <w:top w:val="none" w:sz="0" w:space="0" w:color="auto"/>
        <w:left w:val="none" w:sz="0" w:space="0" w:color="auto"/>
        <w:bottom w:val="none" w:sz="0" w:space="0" w:color="auto"/>
        <w:right w:val="none" w:sz="0" w:space="0" w:color="auto"/>
      </w:divBdr>
    </w:div>
    <w:div w:id="1718430396">
      <w:bodyDiv w:val="1"/>
      <w:marLeft w:val="0"/>
      <w:marRight w:val="0"/>
      <w:marTop w:val="0"/>
      <w:marBottom w:val="0"/>
      <w:divBdr>
        <w:top w:val="none" w:sz="0" w:space="0" w:color="auto"/>
        <w:left w:val="none" w:sz="0" w:space="0" w:color="auto"/>
        <w:bottom w:val="none" w:sz="0" w:space="0" w:color="auto"/>
        <w:right w:val="none" w:sz="0" w:space="0" w:color="auto"/>
      </w:divBdr>
    </w:div>
    <w:div w:id="171935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chart" Target="charts/chart3.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olas\Documents\San%20Disk\Brazil\Critical%20Historical%20Studies\Oil\Renta%20petrolera%20Brasil_1999-2015_nuev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olas\Documents\San%20Disk\Brazil\Critical%20Historical%20Studies\Oil\Renta%20petrolera%20Brasil_1999-2015_nuev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colas\Documents\San%20Disk\Brazil\Critical%20Historical%20Studies\Oil\Renta%20petrolera%20Brasil_1999-2015_nuev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AR">
                <a:solidFill>
                  <a:schemeClr val="tx1"/>
                </a:solidFill>
              </a:rPr>
              <a:t>Renta de la tierra </a:t>
            </a:r>
            <a:r>
              <a:rPr lang="es-AR" sz="1400" b="0" i="0" u="none" strike="noStrike" baseline="0">
                <a:solidFill>
                  <a:schemeClr val="tx1"/>
                </a:solidFill>
                <a:effectLst/>
              </a:rPr>
              <a:t>hidrocarburífera </a:t>
            </a:r>
            <a:r>
              <a:rPr lang="es-AR">
                <a:solidFill>
                  <a:schemeClr val="tx1"/>
                </a:solidFill>
              </a:rPr>
              <a:t>en 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AR"/>
        </a:p>
      </c:txPr>
    </c:title>
    <c:autoTitleDeleted val="0"/>
    <c:plotArea>
      <c:layout>
        <c:manualLayout>
          <c:layoutTarget val="inner"/>
          <c:xMode val="edge"/>
          <c:yMode val="edge"/>
          <c:x val="0.13478958880139982"/>
          <c:y val="0.17171296296296296"/>
          <c:w val="0.81521041119860005"/>
          <c:h val="0.61498432487605714"/>
        </c:manualLayout>
      </c:layout>
      <c:barChart>
        <c:barDir val="col"/>
        <c:grouping val="clustered"/>
        <c:varyColors val="0"/>
        <c:ser>
          <c:idx val="1"/>
          <c:order val="0"/>
          <c:tx>
            <c:v>RTH1</c:v>
          </c:tx>
          <c:spPr>
            <a:solidFill>
              <a:schemeClr val="accent2"/>
            </a:solidFill>
            <a:ln>
              <a:noFill/>
            </a:ln>
            <a:effectLst/>
          </c:spPr>
          <c:invertIfNegative val="0"/>
          <c:cat>
            <c:numRef>
              <c:f>'computo 2'!$A$6:$A$19</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'computo 2'!$L$6:$L$19</c:f>
              <c:numCache>
                <c:formatCode>_-* #,##0_-;\-* #,##0_-;_-* "-"??_-;_-@_-</c:formatCode>
                <c:ptCount val="14"/>
                <c:pt idx="0">
                  <c:v>3423.6373268299194</c:v>
                </c:pt>
                <c:pt idx="1">
                  <c:v>11872.251334121063</c:v>
                </c:pt>
                <c:pt idx="2">
                  <c:v>22283.149301485766</c:v>
                </c:pt>
                <c:pt idx="3">
                  <c:v>54373.692131384429</c:v>
                </c:pt>
                <c:pt idx="4">
                  <c:v>53404.825717774613</c:v>
                </c:pt>
                <c:pt idx="5">
                  <c:v>102807.74423454322</c:v>
                </c:pt>
                <c:pt idx="6">
                  <c:v>182299.303176991</c:v>
                </c:pt>
                <c:pt idx="7">
                  <c:v>93630.887635950377</c:v>
                </c:pt>
                <c:pt idx="8">
                  <c:v>188758.52462284375</c:v>
                </c:pt>
                <c:pt idx="9">
                  <c:v>320566.28154213954</c:v>
                </c:pt>
                <c:pt idx="10">
                  <c:v>356512.55568696093</c:v>
                </c:pt>
                <c:pt idx="11">
                  <c:v>346286.31144576857</c:v>
                </c:pt>
                <c:pt idx="12">
                  <c:v>349642.41426139977</c:v>
                </c:pt>
                <c:pt idx="13">
                  <c:v>188955.13162731373</c:v>
                </c:pt>
              </c:numCache>
            </c:numRef>
          </c:val>
          <c:extLst>
            <c:ext xmlns:c16="http://schemas.microsoft.com/office/drawing/2014/chart" uri="{C3380CC4-5D6E-409C-BE32-E72D297353CC}">
              <c16:uniqueId val="{00000000-8625-4409-A9C9-9ED7F503ED45}"/>
            </c:ext>
          </c:extLst>
        </c:ser>
        <c:ser>
          <c:idx val="0"/>
          <c:order val="1"/>
          <c:tx>
            <c:v>RTH2</c:v>
          </c:tx>
          <c:spPr>
            <a:solidFill>
              <a:schemeClr val="accent1"/>
            </a:solidFill>
            <a:ln>
              <a:noFill/>
            </a:ln>
            <a:effectLst/>
          </c:spPr>
          <c:invertIfNegative val="0"/>
          <c:cat>
            <c:numRef>
              <c:f>'computo 2'!$A$6:$A$19</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'computo 2'!$K$6:$K$19</c:f>
              <c:numCache>
                <c:formatCode>_-* #,##0_-;\-* #,##0_-;_-* "-"??_-;_-@_-</c:formatCode>
                <c:ptCount val="14"/>
                <c:pt idx="0">
                  <c:v>-1779.5881139261346</c:v>
                </c:pt>
                <c:pt idx="1">
                  <c:v>5416.3829582520939</c:v>
                </c:pt>
                <c:pt idx="2">
                  <c:v>21989.484870704357</c:v>
                </c:pt>
                <c:pt idx="3">
                  <c:v>48565.09789772646</c:v>
                </c:pt>
                <c:pt idx="4">
                  <c:v>61173.767126314517</c:v>
                </c:pt>
                <c:pt idx="5">
                  <c:v>94861.701987237291</c:v>
                </c:pt>
                <c:pt idx="6">
                  <c:v>179876.95377693599</c:v>
                </c:pt>
                <c:pt idx="7">
                  <c:v>67305.547290366463</c:v>
                </c:pt>
                <c:pt idx="8">
                  <c:v>166849.58152617529</c:v>
                </c:pt>
                <c:pt idx="9">
                  <c:v>312931.9287986483</c:v>
                </c:pt>
                <c:pt idx="10">
                  <c:v>362992.02210476395</c:v>
                </c:pt>
                <c:pt idx="11">
                  <c:v>342683.50876384421</c:v>
                </c:pt>
                <c:pt idx="12">
                  <c:v>319145.11024830583</c:v>
                </c:pt>
                <c:pt idx="13">
                  <c:v>97725.54345910775</c:v>
                </c:pt>
              </c:numCache>
            </c:numRef>
          </c:val>
          <c:extLst>
            <c:ext xmlns:c16="http://schemas.microsoft.com/office/drawing/2014/chart" uri="{C3380CC4-5D6E-409C-BE32-E72D297353CC}">
              <c16:uniqueId val="{00000001-8625-4409-A9C9-9ED7F503ED45}"/>
            </c:ext>
          </c:extLst>
        </c:ser>
        <c:ser>
          <c:idx val="2"/>
          <c:order val="2"/>
          <c:tx>
            <c:v>RTH1'</c:v>
          </c:tx>
          <c:spPr>
            <a:solidFill>
              <a:schemeClr val="accent3"/>
            </a:solidFill>
            <a:ln>
              <a:noFill/>
            </a:ln>
            <a:effectLst/>
          </c:spPr>
          <c:invertIfNegative val="0"/>
          <c:val>
            <c:numRef>
              <c:f>'computo 2'!$M$6:$M$19</c:f>
              <c:numCache>
                <c:formatCode>_-* #,##0_-;\-* #,##0_-;_-* "-"??_-;_-@_-</c:formatCode>
                <c:ptCount val="14"/>
                <c:pt idx="0">
                  <c:v>1540.5630027440861</c:v>
                </c:pt>
                <c:pt idx="1">
                  <c:v>9219.5188127220954</c:v>
                </c:pt>
                <c:pt idx="2">
                  <c:v>17479.768876977912</c:v>
                </c:pt>
                <c:pt idx="3">
                  <c:v>42495.633019557514</c:v>
                </c:pt>
                <c:pt idx="4">
                  <c:v>42415.352148992446</c:v>
                </c:pt>
                <c:pt idx="5">
                  <c:v>86663.532652917478</c:v>
                </c:pt>
                <c:pt idx="6">
                  <c:v>157858.75180235557</c:v>
                </c:pt>
                <c:pt idx="7">
                  <c:v>74739.992767612595</c:v>
                </c:pt>
                <c:pt idx="8">
                  <c:v>165464.38791272455</c:v>
                </c:pt>
                <c:pt idx="9">
                  <c:v>289816.05275283358</c:v>
                </c:pt>
                <c:pt idx="10">
                  <c:v>323071.94198588707</c:v>
                </c:pt>
                <c:pt idx="11">
                  <c:v>311500.29705200868</c:v>
                </c:pt>
                <c:pt idx="12">
                  <c:v>287595.11011502077</c:v>
                </c:pt>
                <c:pt idx="13">
                  <c:v>150206.91323165261</c:v>
                </c:pt>
              </c:numCache>
            </c:numRef>
          </c:val>
          <c:extLst>
            <c:ext xmlns:c16="http://schemas.microsoft.com/office/drawing/2014/chart" uri="{C3380CC4-5D6E-409C-BE32-E72D297353CC}">
              <c16:uniqueId val="{00000002-8625-4409-A9C9-9ED7F503ED45}"/>
            </c:ext>
          </c:extLst>
        </c:ser>
        <c:dLbls>
          <c:showLegendKey val="0"/>
          <c:showVal val="0"/>
          <c:showCatName val="0"/>
          <c:showSerName val="0"/>
          <c:showPercent val="0"/>
          <c:showBubbleSize val="0"/>
        </c:dLbls>
        <c:gapWidth val="219"/>
        <c:overlap val="-27"/>
        <c:axId val="643929608"/>
        <c:axId val="643928624"/>
      </c:barChart>
      <c:catAx>
        <c:axId val="64392960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crossAx val="643928624"/>
        <c:crosses val="autoZero"/>
        <c:auto val="1"/>
        <c:lblAlgn val="ctr"/>
        <c:lblOffset val="100"/>
        <c:noMultiLvlLbl val="0"/>
      </c:catAx>
      <c:valAx>
        <c:axId val="64392862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crossAx val="643929608"/>
        <c:crosses val="autoZero"/>
        <c:crossBetween val="between"/>
      </c:val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 cap="flat" cmpd="sng" algn="ctr">
      <a:solidFill>
        <a:schemeClr val="tx1"/>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AR"/>
              <a:t>Renta hidrocarburífera y renta agraria en millones de R$2014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AR"/>
        </a:p>
      </c:txPr>
    </c:title>
    <c:autoTitleDeleted val="0"/>
    <c:plotArea>
      <c:layout>
        <c:manualLayout>
          <c:layoutTarget val="inner"/>
          <c:xMode val="edge"/>
          <c:yMode val="edge"/>
          <c:x val="0.12408769841269841"/>
          <c:y val="0.20805069444444443"/>
          <c:w val="0.81108573623419011"/>
          <c:h val="0.61408511626789275"/>
        </c:manualLayout>
      </c:layout>
      <c:barChart>
        <c:barDir val="col"/>
        <c:grouping val="clustered"/>
        <c:varyColors val="0"/>
        <c:ser>
          <c:idx val="1"/>
          <c:order val="0"/>
          <c:tx>
            <c:v>RHT1</c:v>
          </c:tx>
          <c:spPr>
            <a:solidFill>
              <a:schemeClr val="accent2"/>
            </a:solidFill>
            <a:ln>
              <a:noFill/>
            </a:ln>
            <a:effectLst/>
          </c:spPr>
          <c:invertIfNegative val="0"/>
          <c:cat>
            <c:numRef>
              <c:f>'computo 2'!$A$6:$A$19</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'computo 2'!$U$6:$U$19</c:f>
              <c:numCache>
                <c:formatCode>_-* #,##0_-;\-* #,##0_-;_-* "-"??_-;_-@_-</c:formatCode>
                <c:ptCount val="14"/>
                <c:pt idx="0">
                  <c:v>7001.4678268059852</c:v>
                </c:pt>
                <c:pt idx="1">
                  <c:v>21151.151146512002</c:v>
                </c:pt>
                <c:pt idx="2">
                  <c:v>37328.409421075448</c:v>
                </c:pt>
                <c:pt idx="3">
                  <c:v>85900.805383956686</c:v>
                </c:pt>
                <c:pt idx="4">
                  <c:v>81462.057729521635</c:v>
                </c:pt>
                <c:pt idx="5">
                  <c:v>151614.41281258481</c:v>
                </c:pt>
                <c:pt idx="6">
                  <c:v>254918.86933720548</c:v>
                </c:pt>
                <c:pt idx="7">
                  <c:v>124829.40519299242</c:v>
                </c:pt>
                <c:pt idx="8">
                  <c:v>239583.32084865763</c:v>
                </c:pt>
                <c:pt idx="9">
                  <c:v>381560.30803399876</c:v>
                </c:pt>
                <c:pt idx="10">
                  <c:v>402597.87122854107</c:v>
                </c:pt>
                <c:pt idx="11">
                  <c:v>368213.48045440065</c:v>
                </c:pt>
                <c:pt idx="12">
                  <c:v>349642.41426139977</c:v>
                </c:pt>
                <c:pt idx="13">
                  <c:v>173004.4139405009</c:v>
                </c:pt>
              </c:numCache>
            </c:numRef>
          </c:val>
          <c:extLst>
            <c:ext xmlns:c16="http://schemas.microsoft.com/office/drawing/2014/chart" uri="{C3380CC4-5D6E-409C-BE32-E72D297353CC}">
              <c16:uniqueId val="{00000000-54DB-4398-AF71-746FDBD8E5FB}"/>
            </c:ext>
          </c:extLst>
        </c:ser>
        <c:ser>
          <c:idx val="0"/>
          <c:order val="1"/>
          <c:tx>
            <c:v>RTH2</c:v>
          </c:tx>
          <c:spPr>
            <a:solidFill>
              <a:schemeClr val="accent1"/>
            </a:solidFill>
            <a:ln>
              <a:noFill/>
            </a:ln>
            <a:effectLst/>
          </c:spPr>
          <c:invertIfNegative val="0"/>
          <c:cat>
            <c:numRef>
              <c:f>'computo 2'!$A$6:$A$19</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'computo 2'!$T$6:$T$19</c:f>
              <c:numCache>
                <c:formatCode>_-* #,##0_-;\-* #,##0_-;_-* "-"??_-;_-@_-</c:formatCode>
                <c:ptCount val="14"/>
                <c:pt idx="0">
                  <c:v>-3639.3250029661085</c:v>
                </c:pt>
                <c:pt idx="1">
                  <c:v>9649.621743445281</c:v>
                </c:pt>
                <c:pt idx="2">
                  <c:v>36836.467013999049</c:v>
                </c:pt>
                <c:pt idx="3">
                  <c:v>76724.255047551909</c:v>
                </c:pt>
                <c:pt idx="4">
                  <c:v>93312.55897194233</c:v>
                </c:pt>
                <c:pt idx="5">
                  <c:v>139896.08810388556</c:v>
                </c:pt>
                <c:pt idx="6">
                  <c:v>251531.56856621921</c:v>
                </c:pt>
                <c:pt idx="7">
                  <c:v>89732.263001844709</c:v>
                </c:pt>
                <c:pt idx="8">
                  <c:v>211775.21335326319</c:v>
                </c:pt>
                <c:pt idx="9">
                  <c:v>372473.36984937935</c:v>
                </c:pt>
                <c:pt idx="10">
                  <c:v>409914.91895909794</c:v>
                </c:pt>
                <c:pt idx="11">
                  <c:v>364382.54497975495</c:v>
                </c:pt>
                <c:pt idx="12">
                  <c:v>319145.11024830583</c:v>
                </c:pt>
                <c:pt idx="13">
                  <c:v>89476.005375214503</c:v>
                </c:pt>
              </c:numCache>
            </c:numRef>
          </c:val>
          <c:extLst>
            <c:ext xmlns:c16="http://schemas.microsoft.com/office/drawing/2014/chart" uri="{C3380CC4-5D6E-409C-BE32-E72D297353CC}">
              <c16:uniqueId val="{00000001-54DB-4398-AF71-746FDBD8E5FB}"/>
            </c:ext>
          </c:extLst>
        </c:ser>
        <c:ser>
          <c:idx val="2"/>
          <c:order val="2"/>
          <c:tx>
            <c:v>RAO</c:v>
          </c:tx>
          <c:spPr>
            <a:solidFill>
              <a:schemeClr val="accent3"/>
            </a:solidFill>
            <a:ln>
              <a:noFill/>
            </a:ln>
            <a:effectLst/>
          </c:spPr>
          <c:invertIfNegative val="0"/>
          <c:cat>
            <c:numRef>
              <c:f>'computo 2'!$A$6:$A$19</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'computo 2'!$Y$6:$Y$19</c:f>
              <c:numCache>
                <c:formatCode>_-* #,##0_-;\-* #,##0_-;_-* "-"??_-;_-@_-</c:formatCode>
                <c:ptCount val="14"/>
                <c:pt idx="0">
                  <c:v>-22043.460167287354</c:v>
                </c:pt>
                <c:pt idx="1">
                  <c:v>-14169.770421059489</c:v>
                </c:pt>
                <c:pt idx="2">
                  <c:v>17238.784424098892</c:v>
                </c:pt>
                <c:pt idx="3">
                  <c:v>44842.680964249856</c:v>
                </c:pt>
                <c:pt idx="4">
                  <c:v>61109.923003415497</c:v>
                </c:pt>
                <c:pt idx="5">
                  <c:v>73008.92815810004</c:v>
                </c:pt>
                <c:pt idx="6">
                  <c:v>150254.64521856882</c:v>
                </c:pt>
                <c:pt idx="7">
                  <c:v>125985.47682914183</c:v>
                </c:pt>
                <c:pt idx="8">
                  <c:v>181811.71244948314</c:v>
                </c:pt>
                <c:pt idx="9">
                  <c:v>272619.15696818766</c:v>
                </c:pt>
                <c:pt idx="10">
                  <c:v>215942.9329289716</c:v>
                </c:pt>
                <c:pt idx="11">
                  <c:v>235389.61807218252</c:v>
                </c:pt>
                <c:pt idx="12">
                  <c:v>190984.61757943654</c:v>
                </c:pt>
                <c:pt idx="13">
                  <c:v>115707.92607542465</c:v>
                </c:pt>
              </c:numCache>
            </c:numRef>
          </c:val>
          <c:extLst>
            <c:ext xmlns:c16="http://schemas.microsoft.com/office/drawing/2014/chart" uri="{C3380CC4-5D6E-409C-BE32-E72D297353CC}">
              <c16:uniqueId val="{00000002-54DB-4398-AF71-746FDBD8E5FB}"/>
            </c:ext>
          </c:extLst>
        </c:ser>
        <c:ser>
          <c:idx val="4"/>
          <c:order val="3"/>
          <c:tx>
            <c:v>RAT</c:v>
          </c:tx>
          <c:spPr>
            <a:solidFill>
              <a:schemeClr val="accent5"/>
            </a:solidFill>
            <a:ln>
              <a:noFill/>
            </a:ln>
            <a:effectLst/>
          </c:spPr>
          <c:invertIfNegative val="0"/>
          <c:cat>
            <c:numRef>
              <c:f>'computo 2'!$A$6:$A$19</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'computo 2'!$AA$6:$AA$19</c:f>
              <c:numCache>
                <c:formatCode>_-* #,##0_-;\-* #,##0_-;_-* "-"??_-;_-@_-</c:formatCode>
                <c:ptCount val="14"/>
                <c:pt idx="0">
                  <c:v>8098.5086290907238</c:v>
                </c:pt>
                <c:pt idx="1">
                  <c:v>2458.5632036959978</c:v>
                </c:pt>
                <c:pt idx="2">
                  <c:v>19656.996211269012</c:v>
                </c:pt>
                <c:pt idx="3">
                  <c:v>46653.266528820051</c:v>
                </c:pt>
                <c:pt idx="4">
                  <c:v>80412.952747569987</c:v>
                </c:pt>
                <c:pt idx="5">
                  <c:v>105320.73622540846</c:v>
                </c:pt>
                <c:pt idx="6">
                  <c:v>194592.24094977195</c:v>
                </c:pt>
                <c:pt idx="7">
                  <c:v>163937.95947308512</c:v>
                </c:pt>
                <c:pt idx="8">
                  <c:v>222563.60661394981</c:v>
                </c:pt>
              </c:numCache>
            </c:numRef>
          </c:val>
          <c:extLst>
            <c:ext xmlns:c16="http://schemas.microsoft.com/office/drawing/2014/chart" uri="{C3380CC4-5D6E-409C-BE32-E72D297353CC}">
              <c16:uniqueId val="{00000003-54DB-4398-AF71-746FDBD8E5FB}"/>
            </c:ext>
          </c:extLst>
        </c:ser>
        <c:dLbls>
          <c:showLegendKey val="0"/>
          <c:showVal val="0"/>
          <c:showCatName val="0"/>
          <c:showSerName val="0"/>
          <c:showPercent val="0"/>
          <c:showBubbleSize val="0"/>
        </c:dLbls>
        <c:gapWidth val="219"/>
        <c:overlap val="-27"/>
        <c:axId val="656938448"/>
        <c:axId val="656941728"/>
      </c:barChart>
      <c:catAx>
        <c:axId val="65693844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crossAx val="656941728"/>
        <c:crosses val="autoZero"/>
        <c:auto val="1"/>
        <c:lblAlgn val="ctr"/>
        <c:lblOffset val="100"/>
        <c:noMultiLvlLbl val="0"/>
      </c:catAx>
      <c:valAx>
        <c:axId val="656941728"/>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crossAx val="656938448"/>
        <c:crosses val="autoZero"/>
        <c:crossBetween val="between"/>
      </c:val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 cap="flat" cmpd="sng" algn="ctr">
      <a:solidFill>
        <a:schemeClr val="tx1"/>
      </a:solidFill>
      <a:round/>
    </a:ln>
    <a:effectLst/>
  </c:spPr>
  <c:txPr>
    <a:bodyPr/>
    <a:lstStyle/>
    <a:p>
      <a:pPr>
        <a:defRPr>
          <a:solidFill>
            <a:schemeClr val="tx1"/>
          </a:solidFill>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s-AR">
                <a:solidFill>
                  <a:schemeClr val="tx1"/>
                </a:solidFill>
              </a:rPr>
              <a:t>Renta</a:t>
            </a:r>
            <a:r>
              <a:rPr lang="es-AR" baseline="0">
                <a:solidFill>
                  <a:schemeClr val="tx1"/>
                </a:solidFill>
              </a:rPr>
              <a:t> </a:t>
            </a:r>
            <a:r>
              <a:rPr lang="es-AR" sz="1400" b="0" i="0" u="none" strike="noStrike" baseline="0">
                <a:solidFill>
                  <a:schemeClr val="tx1"/>
                </a:solidFill>
                <a:effectLst/>
              </a:rPr>
              <a:t>hidrocarburífera  sobre plusvalía total</a:t>
            </a:r>
            <a:endParaRPr lang="es-AR">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s-AR"/>
        </a:p>
      </c:txPr>
    </c:title>
    <c:autoTitleDeleted val="0"/>
    <c:plotArea>
      <c:layout>
        <c:manualLayout>
          <c:layoutTarget val="inner"/>
          <c:xMode val="edge"/>
          <c:yMode val="edge"/>
          <c:x val="9.6858923884514433E-2"/>
          <c:y val="0.17171296296296296"/>
          <c:w val="0.86425218722659669"/>
          <c:h val="0.61498432487605714"/>
        </c:manualLayout>
      </c:layout>
      <c:lineChart>
        <c:grouping val="standard"/>
        <c:varyColors val="0"/>
        <c:ser>
          <c:idx val="0"/>
          <c:order val="0"/>
          <c:tx>
            <c:v>RTH1</c:v>
          </c:tx>
          <c:spPr>
            <a:ln w="28575" cap="rnd">
              <a:solidFill>
                <a:schemeClr val="accent1"/>
              </a:solidFill>
              <a:round/>
            </a:ln>
            <a:effectLst/>
          </c:spPr>
          <c:marker>
            <c:symbol val="none"/>
          </c:marker>
          <c:cat>
            <c:numRef>
              <c:f>'computo 2'!$A$6:$A$19</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'computo 2'!$Q$6:$Q$19</c:f>
              <c:numCache>
                <c:formatCode>_(* #,##0.00_);_(* \(#,##0.00\);_(* "-"??_);_(@_)</c:formatCode>
                <c:ptCount val="14"/>
                <c:pt idx="0">
                  <c:v>4.3071630930919674E-3</c:v>
                </c:pt>
                <c:pt idx="1">
                  <c:v>1.2203364861679812E-2</c:v>
                </c:pt>
                <c:pt idx="2">
                  <c:v>1.9537414341995369E-2</c:v>
                </c:pt>
                <c:pt idx="3">
                  <c:v>4.3028376492017371E-2</c:v>
                </c:pt>
                <c:pt idx="4">
                  <c:v>3.7750658937793113E-2</c:v>
                </c:pt>
                <c:pt idx="5">
                  <c:v>6.2948437008893118E-2</c:v>
                </c:pt>
                <c:pt idx="6">
                  <c:v>9.6962769334197729E-2</c:v>
                </c:pt>
                <c:pt idx="7">
                  <c:v>4.7211592165153006E-2</c:v>
                </c:pt>
                <c:pt idx="8">
                  <c:v>7.9694934153694885E-2</c:v>
                </c:pt>
                <c:pt idx="9">
                  <c:v>0.1196433320982595</c:v>
                </c:pt>
                <c:pt idx="10">
                  <c:v>0.12111566675526803</c:v>
                </c:pt>
                <c:pt idx="11">
                  <c:v>0.10408228383086544</c:v>
                </c:pt>
                <c:pt idx="12">
                  <c:v>9.8573359114670273E-2</c:v>
                </c:pt>
                <c:pt idx="13">
                  <c:v>5.1221648432093876E-2</c:v>
                </c:pt>
              </c:numCache>
            </c:numRef>
          </c:val>
          <c:smooth val="0"/>
          <c:extLst>
            <c:ext xmlns:c16="http://schemas.microsoft.com/office/drawing/2014/chart" uri="{C3380CC4-5D6E-409C-BE32-E72D297353CC}">
              <c16:uniqueId val="{00000000-16C7-42DC-B747-DB0F9E42A125}"/>
            </c:ext>
          </c:extLst>
        </c:ser>
        <c:ser>
          <c:idx val="1"/>
          <c:order val="1"/>
          <c:tx>
            <c:v>RTH2</c:v>
          </c:tx>
          <c:spPr>
            <a:ln w="28575" cap="rnd">
              <a:solidFill>
                <a:schemeClr val="accent2"/>
              </a:solidFill>
              <a:round/>
            </a:ln>
            <a:effectLst/>
          </c:spPr>
          <c:marker>
            <c:symbol val="none"/>
          </c:marker>
          <c:cat>
            <c:numRef>
              <c:f>'computo 2'!$A$6:$A$19</c:f>
              <c:numCache>
                <c:formatCode>General</c:formatCode>
                <c:ptCount val="14"/>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numCache>
            </c:numRef>
          </c:cat>
          <c:val>
            <c:numRef>
              <c:f>'computo 2'!$R$6:$R$19</c:f>
              <c:numCache>
                <c:formatCode>_(* #,##0.00_);_(* \(#,##0.00\);_(* "-"??_);_(@_)</c:formatCode>
                <c:ptCount val="14"/>
                <c:pt idx="0">
                  <c:v>-2.238840015307665E-3</c:v>
                </c:pt>
                <c:pt idx="1">
                  <c:v>5.5674442538263856E-3</c:v>
                </c:pt>
                <c:pt idx="2">
                  <c:v>1.9279935312256063E-2</c:v>
                </c:pt>
                <c:pt idx="3">
                  <c:v>3.8431771593985552E-2</c:v>
                </c:pt>
                <c:pt idx="4">
                  <c:v>4.3242347253964794E-2</c:v>
                </c:pt>
                <c:pt idx="5">
                  <c:v>5.8083132905600889E-2</c:v>
                </c:pt>
                <c:pt idx="6">
                  <c:v>9.5674351320354151E-2</c:v>
                </c:pt>
                <c:pt idx="7">
                  <c:v>3.3937540584685573E-2</c:v>
                </c:pt>
                <c:pt idx="8">
                  <c:v>7.0444852437095501E-2</c:v>
                </c:pt>
                <c:pt idx="9">
                  <c:v>0.11679400123211003</c:v>
                </c:pt>
                <c:pt idx="10">
                  <c:v>0.12331689328401797</c:v>
                </c:pt>
                <c:pt idx="11">
                  <c:v>0.10299939975796907</c:v>
                </c:pt>
                <c:pt idx="12">
                  <c:v>8.9975369918014997E-2</c:v>
                </c:pt>
                <c:pt idx="13">
                  <c:v>2.6491280690755015E-2</c:v>
                </c:pt>
              </c:numCache>
            </c:numRef>
          </c:val>
          <c:smooth val="0"/>
          <c:extLst>
            <c:ext xmlns:c16="http://schemas.microsoft.com/office/drawing/2014/chart" uri="{C3380CC4-5D6E-409C-BE32-E72D297353CC}">
              <c16:uniqueId val="{00000001-16C7-42DC-B747-DB0F9E42A125}"/>
            </c:ext>
          </c:extLst>
        </c:ser>
        <c:ser>
          <c:idx val="2"/>
          <c:order val="2"/>
          <c:tx>
            <c:v>RTH1'</c:v>
          </c:tx>
          <c:spPr>
            <a:ln w="28575" cap="rnd">
              <a:solidFill>
                <a:schemeClr val="accent3"/>
              </a:solidFill>
              <a:round/>
            </a:ln>
            <a:effectLst/>
          </c:spPr>
          <c:marker>
            <c:symbol val="none"/>
          </c:marker>
          <c:val>
            <c:numRef>
              <c:f>'computo 2'!$S$6:$S$19</c:f>
              <c:numCache>
                <c:formatCode>_(* #,##0.00_);_(* \(#,##0.00\);_(* "-"??_);_(@_)</c:formatCode>
                <c:ptCount val="14"/>
                <c:pt idx="0">
                  <c:v>1.9381305537249465E-3</c:v>
                </c:pt>
                <c:pt idx="1">
                  <c:v>9.4766484261848034E-3</c:v>
                </c:pt>
                <c:pt idx="2">
                  <c:v>1.5325907596421382E-2</c:v>
                </c:pt>
                <c:pt idx="3">
                  <c:v>3.3628727885791437E-2</c:v>
                </c:pt>
                <c:pt idx="4">
                  <c:v>2.9982449548001756E-2</c:v>
                </c:pt>
                <c:pt idx="5">
                  <c:v>5.3063453213453009E-2</c:v>
                </c:pt>
                <c:pt idx="6">
                  <c:v>8.3963139033699175E-2</c:v>
                </c:pt>
                <c:pt idx="7">
                  <c:v>3.7686218149406682E-2</c:v>
                </c:pt>
                <c:pt idx="8">
                  <c:v>6.9860015730861175E-2</c:v>
                </c:pt>
                <c:pt idx="9">
                  <c:v>0.1081665797167001</c:v>
                </c:pt>
                <c:pt idx="10">
                  <c:v>0.10975510690820556</c:v>
                </c:pt>
                <c:pt idx="11">
                  <c:v>9.3626751215788603E-2</c:v>
                </c:pt>
                <c:pt idx="12">
                  <c:v>8.10805980987096E-2</c:v>
                </c:pt>
                <c:pt idx="13">
                  <c:v>4.0717844682814551E-2</c:v>
                </c:pt>
              </c:numCache>
            </c:numRef>
          </c:val>
          <c:smooth val="0"/>
          <c:extLst>
            <c:ext xmlns:c16="http://schemas.microsoft.com/office/drawing/2014/chart" uri="{C3380CC4-5D6E-409C-BE32-E72D297353CC}">
              <c16:uniqueId val="{00000002-16C7-42DC-B747-DB0F9E42A125}"/>
            </c:ext>
          </c:extLst>
        </c:ser>
        <c:dLbls>
          <c:showLegendKey val="0"/>
          <c:showVal val="0"/>
          <c:showCatName val="0"/>
          <c:showSerName val="0"/>
          <c:showPercent val="0"/>
          <c:showBubbleSize val="0"/>
        </c:dLbls>
        <c:smooth val="0"/>
        <c:axId val="657288768"/>
        <c:axId val="657285160"/>
      </c:lineChart>
      <c:catAx>
        <c:axId val="657288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crossAx val="657285160"/>
        <c:crosses val="autoZero"/>
        <c:auto val="1"/>
        <c:lblAlgn val="ctr"/>
        <c:lblOffset val="100"/>
        <c:noMultiLvlLbl val="0"/>
      </c:catAx>
      <c:valAx>
        <c:axId val="657285160"/>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crossAx val="657288768"/>
        <c:crosses val="autoZero"/>
        <c:crossBetween val="between"/>
      </c:val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3175" cap="flat" cmpd="sng" algn="ctr">
      <a:solidFill>
        <a:schemeClr val="tx1"/>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2652</Words>
  <Characters>14592</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Grinberg</dc:creator>
  <cp:keywords/>
  <dc:description/>
  <cp:lastModifiedBy>Nicolas Grinberg</cp:lastModifiedBy>
  <cp:revision>4</cp:revision>
  <dcterms:created xsi:type="dcterms:W3CDTF">2021-06-04T17:21:00Z</dcterms:created>
  <dcterms:modified xsi:type="dcterms:W3CDTF">2021-06-05T17:27:00Z</dcterms:modified>
</cp:coreProperties>
</file>