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Uvod</w:t>
      </w:r>
    </w:p>
    <w:p w:rsidR="00000000" w:rsidDel="00000000" w:rsidP="00000000" w:rsidRDefault="00000000" w:rsidRPr="00000000" w14:paraId="00000002">
      <w:pPr>
        <w:ind w:left="-81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900" w:hanging="360"/>
        <w:rPr/>
      </w:pPr>
      <w:r w:rsidDel="00000000" w:rsidR="00000000" w:rsidRPr="00000000">
        <w:rPr>
          <w:rtl w:val="0"/>
        </w:rPr>
        <w:t xml:space="preserve">Financiranje zdravstva kroz: Obavezni doprinosi poslodavca–Oporezivanje–Privatna osiguranja–Out-of-pocket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900" w:hanging="360"/>
        <w:rPr>
          <w:u w:val="none"/>
        </w:rPr>
      </w:pPr>
      <w:r w:rsidDel="00000000" w:rsidR="00000000" w:rsidRPr="00000000">
        <w:rPr>
          <w:rtl w:val="0"/>
        </w:rPr>
        <w:t xml:space="preserve">Tipovi sustava pružanja zdravstvene skrbi: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Beverige - kroz poreze, bolnice u vlasništvu države, niski troškovi po glavi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UK, Španj, Skandinavske zemlje, HK, NZ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Bismarck - više osiguravatelja pokriva cijelu populaciji, bolnice su privatnici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Njemačka, Nizozemska, Japan, Francuska, Švicarska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Nacionalni jedinstveni zdravstveni osiguravatelj - kroz odbitne na plaću, porezi i dodatna osiguranja, bolnice privatne, a plaćanja od javnog osiguravatelja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Značajna uloga u pregovaranju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Hrv, Taiwan, J koreja, I Europa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Out of pocket - nepravedno, u Africi</w:t>
      </w:r>
    </w:p>
    <w:p w:rsidR="00000000" w:rsidDel="00000000" w:rsidP="00000000" w:rsidRDefault="00000000" w:rsidRPr="00000000" w14:paraId="0000000E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900" w:hanging="360"/>
        <w:rPr>
          <w:u w:val="none"/>
        </w:rPr>
      </w:pPr>
      <w:r w:rsidDel="00000000" w:rsidR="00000000" w:rsidRPr="00000000">
        <w:rPr>
          <w:rtl w:val="0"/>
        </w:rPr>
        <w:t xml:space="preserve">Stupnjevi zaštite: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Primarna - prva i posljednja točka u skrbi, 80% problema rješava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Holistički pristup- gleda fizičke siptome, psih značajke, i značajke emocionalnog i socijalnog okruženja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Sekundarna - poliklinike, specijalistički odjeli i lječilišta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Treba uputnica iz primarne i vraća se u primarnu za terapiju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Tercijarna - klinike, klinički centri i kliničko bolnički centri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Hospitalizacije i sofisticirana oprema</w:t>
      </w:r>
    </w:p>
    <w:p w:rsidR="00000000" w:rsidDel="00000000" w:rsidP="00000000" w:rsidRDefault="00000000" w:rsidRPr="00000000" w14:paraId="00000016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Razine interoperabilnosti: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Tehnička razina, zakonski okvir, poslovni procesi i semantiak</w:t>
      </w:r>
    </w:p>
    <w:p w:rsidR="00000000" w:rsidDel="00000000" w:rsidP="00000000" w:rsidRDefault="00000000" w:rsidRPr="00000000" w14:paraId="00000019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9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Uvod u HL7</w:t>
      </w:r>
    </w:p>
    <w:p w:rsidR="00000000" w:rsidDel="00000000" w:rsidP="00000000" w:rsidRDefault="00000000" w:rsidRPr="00000000" w14:paraId="00000020">
      <w:pPr>
        <w:ind w:left="72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HL7- vodeća inicijativa u interoperabinlosti ICT, 1987. u SAD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Ima i u HR podružnica</w:t>
      </w:r>
    </w:p>
    <w:p w:rsidR="00000000" w:rsidDel="00000000" w:rsidP="00000000" w:rsidRDefault="00000000" w:rsidRPr="00000000" w14:paraId="00000023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HL7 poruka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Definira konstrukciju u abstract message syntax table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Ima 1 Trigger event - zbog kojeg dolazi do komunikacije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1 Message Type - definira svrhu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1 MT može bit vezan uz više TE, ali ne i suprotno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Segment = logička grupa polja, ima ID od 3 znaka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Obavezni i opcionalni, ponavljajuci 1 ili više puta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Polja u segmentu opisana s segment attribute table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Polje : Populated, Not populated, Null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Obavezni segmenti: MSH- Msg Header, OBR-Obervation Request , OBX- Observation Result</w:t>
      </w:r>
    </w:p>
    <w:p w:rsidR="00000000" w:rsidDel="00000000" w:rsidP="00000000" w:rsidRDefault="00000000" w:rsidRPr="00000000" w14:paraId="0000002E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Razine potvrde: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Acknowledgement -potvrda na app razini, u Orginal mode i Enhanced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MSH 15 i 16 su null ili not present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Accept Ack - potvrda da je spremljena u bazu poruka, samo Enhanced</w:t>
      </w:r>
    </w:p>
    <w:p w:rsidR="00000000" w:rsidDel="00000000" w:rsidP="00000000" w:rsidRDefault="00000000" w:rsidRPr="00000000" w14:paraId="00000033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 proširenja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 poruka - samo treba imat MSH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 segment- mogu u Z i HL7 poruke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Postojeće u HL7 poruke bolje ne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 Lokalna il postojeća polja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Može se proširit postojeći segment, al ne promjenti što postoji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 tipovi podataka - u lokalnim poljima, postojeće tipove ne dirati</w:t>
      </w:r>
    </w:p>
    <w:p w:rsidR="00000000" w:rsidDel="00000000" w:rsidP="00000000" w:rsidRDefault="00000000" w:rsidRPr="00000000" w14:paraId="0000003B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Procesiranje poruka: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Ignorira se što se ne očekuje, očekivani a kojih nema su prazna polja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HL7v2- nema upute za konstrukciju poruka ni eksplicitnu metodologiju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Zato v3</w:t>
      </w:r>
    </w:p>
    <w:p w:rsidR="00000000" w:rsidDel="00000000" w:rsidP="00000000" w:rsidRDefault="00000000" w:rsidRPr="00000000" w14:paraId="00000040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HL7v3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Normizacija poruka na sintaktičkoj i semantičkoj razini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RIM - Statički model koji obuhvaća zdravstvene informacije u području normizacije HL7 norme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Modeliran UML-om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4 vrste objekta: radnja, sudjelovanje, entitet i uloga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Radnja - opisuje slučaj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Sudjelovanje - kontekst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Entitet- stvari i osobe  koje sudjeluju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Uloga- uloga pojedinog entiteta</w:t>
      </w:r>
    </w:p>
    <w:p w:rsidR="00000000" w:rsidDel="00000000" w:rsidP="00000000" w:rsidRDefault="00000000" w:rsidRPr="00000000" w14:paraId="0000004A">
      <w:pPr>
        <w:ind w:left="28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Izvor informacijskih modela: DMIM, RMIM, HMD, MT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DMIM (Domain Message Information Model) –obuhvaća informacije od interesa za pojedini tehnički odbor, specijalnu interesnu grupu ili projekt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RMIM (Refined Message Information Model) –opisuje povezanu grupu poruka koristeći HL7 pravila modeliranja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720" w:right="-900" w:hanging="360"/>
      </w:pPr>
      <w:r w:rsidDel="00000000" w:rsidR="00000000" w:rsidRPr="00000000">
        <w:rPr>
          <w:rtl w:val="0"/>
        </w:rPr>
        <w:t xml:space="preserve">HMD –tablična reprezentacija sekvence elemenata sadržanih u RMIM-u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HL7 interakcij: Tigger event, Composite Message Type, Receiver Responsibility</w:t>
      </w:r>
    </w:p>
    <w:p w:rsidR="00000000" w:rsidDel="00000000" w:rsidP="00000000" w:rsidRDefault="00000000" w:rsidRPr="00000000" w14:paraId="00000050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right="-9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HL7 CDA</w:t>
      </w:r>
    </w:p>
    <w:p w:rsidR="00000000" w:rsidDel="00000000" w:rsidP="00000000" w:rsidRDefault="00000000" w:rsidRPr="00000000" w14:paraId="00000057">
      <w:pPr>
        <w:ind w:left="72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6 karakteristika CDA: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Perzistentnost, upravljivost, mogućnost autentifikacije, očuvanje konteksta, cjelovitost, ljudka čitljivost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Interoperabilnost na 2 razine: ljudska i računalna</w:t>
      </w:r>
    </w:p>
    <w:p w:rsidR="00000000" w:rsidDel="00000000" w:rsidP="00000000" w:rsidRDefault="00000000" w:rsidRPr="00000000" w14:paraId="0000005B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CDA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Kodiran s XML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Baziran na RIM i HL7v3 tipovima podataka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Ne uvjetuje: transport, fizičku pohranu, kreiranje i upravljanje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Uvjetuje samo: format za razmjenu</w:t>
      </w:r>
    </w:p>
    <w:p w:rsidR="00000000" w:rsidDel="00000000" w:rsidP="00000000" w:rsidRDefault="00000000" w:rsidRPr="00000000" w14:paraId="00000061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Struktura: 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Header- kontekst i ključni podaci izmjene dokumenta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Identifikacija i klasifikacija, jezik, povjerljivost, potpisi, primatelj, menadžer, upisnik, pacijent, autor...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Body - XML hijerarhija, klinički podaci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 formi BLOB-a ili strukturirani markup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Građen od sectiona, svaki section ima :</w:t>
      </w:r>
    </w:p>
    <w:p w:rsidR="00000000" w:rsidDel="00000000" w:rsidP="00000000" w:rsidRDefault="00000000" w:rsidRPr="00000000" w14:paraId="00000068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Section.text- narativni blok</w:t>
      </w:r>
    </w:p>
    <w:p w:rsidR="00000000" w:rsidDel="00000000" w:rsidP="00000000" w:rsidRDefault="00000000" w:rsidRPr="00000000" w14:paraId="00000069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0-n Entry - klinički element</w:t>
      </w:r>
    </w:p>
    <w:p w:rsidR="00000000" w:rsidDel="00000000" w:rsidP="00000000" w:rsidRDefault="00000000" w:rsidRPr="00000000" w14:paraId="0000006A">
      <w:pPr>
        <w:ind w:left="36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Entry 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Za rač procesiranje, kodira stvari iz Section.text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Tipovi: Observacije, regije od interesa, administracija lijekova, nabava materijala, procedure, odnosi epizoda lječenje, Organiser klasa i generički akt</w:t>
      </w:r>
    </w:p>
    <w:p w:rsidR="00000000" w:rsidDel="00000000" w:rsidP="00000000" w:rsidRDefault="00000000" w:rsidRPr="00000000" w14:paraId="0000006E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Razine: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Level 1 - slobodan CDA - tekst s formatiranjem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Level 2 - section level templates - kodiranje sekcija</w:t>
        <w:tab/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Level 3 - entry level templates - kodiranje ključnih riječi unutar sekcija</w:t>
      </w:r>
    </w:p>
    <w:p w:rsidR="00000000" w:rsidDel="00000000" w:rsidP="00000000" w:rsidRDefault="00000000" w:rsidRPr="00000000" w14:paraId="00000073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RIM atributi: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Mandatory - bold i *, mora se poslati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Required- *, mora se popuniti di je poznata</w:t>
      </w:r>
    </w:p>
    <w:p w:rsidR="00000000" w:rsidDel="00000000" w:rsidP="00000000" w:rsidRDefault="00000000" w:rsidRPr="00000000" w14:paraId="00000077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Validacija: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Primatelj mora - postaviti default di se nezna, procesirat cijeli Header,a Body kolko treba za prikaz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Primatelj ne mora - poznavati sve Entries, validirat cijeli dokument po predlošku</w:t>
      </w:r>
    </w:p>
    <w:p w:rsidR="00000000" w:rsidDel="00000000" w:rsidP="00000000" w:rsidRDefault="00000000" w:rsidRPr="00000000" w14:paraId="0000007B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Razmjena preko HL7 poruke: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CDA je MIME objekt kodiran s ED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 v2- unutar OBX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 v3 - kako god</w:t>
      </w:r>
    </w:p>
    <w:p w:rsidR="00000000" w:rsidDel="00000000" w:rsidP="00000000" w:rsidRDefault="00000000" w:rsidRPr="00000000" w14:paraId="00000080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C-CDA (Consolidated CDA)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Set predložaka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Razine: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Level 1 - predložak na razini dokumenta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Level 2- predložak na razini sekcije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Level 3 - preložak na razini podatka</w:t>
      </w:r>
    </w:p>
    <w:p w:rsidR="00000000" w:rsidDel="00000000" w:rsidP="00000000" w:rsidRDefault="00000000" w:rsidRPr="00000000" w14:paraId="00000087">
      <w:pPr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right="-90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HL7 FHIR</w:t>
      </w:r>
    </w:p>
    <w:p w:rsidR="00000000" w:rsidDel="00000000" w:rsidP="00000000" w:rsidRDefault="00000000" w:rsidRPr="00000000" w14:paraId="0000008C">
      <w:pPr>
        <w:ind w:left="72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Naglasak na implementacije, javno dostupni resursi, koristi postojeće web tehnologije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Specifikcija od 2 dijela: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Definicija informacijskog modela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Specifikacija za razmjenu info</w:t>
      </w:r>
    </w:p>
    <w:p w:rsidR="00000000" w:rsidDel="00000000" w:rsidP="00000000" w:rsidRDefault="00000000" w:rsidRPr="00000000" w14:paraId="00000091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Resurs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Najmanja jedinica, definira ponašanje ili značenje</w:t>
      </w:r>
    </w:p>
    <w:p w:rsidR="00000000" w:rsidDel="00000000" w:rsidP="00000000" w:rsidRDefault="00000000" w:rsidRPr="00000000" w14:paraId="00000094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Tipovi: Foundation, Base, Clinical, Financial, Specialised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Foundation - osnovni set, često korišteni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Base - krajnji resurs u grafu, često ga se referencira, al on NE referencira druge, treba bit konzistentan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Clinical - često korištene u kliničkoj praksi, referenciraju Base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Financial - grade se iz Base i Clinical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Specialized - odnose na rijeđe Use case</w:t>
      </w:r>
    </w:p>
    <w:p w:rsidR="00000000" w:rsidDel="00000000" w:rsidP="00000000" w:rsidRDefault="00000000" w:rsidRPr="00000000" w14:paraId="0000009B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Definiran s: URL, tip, set elemenata i verzija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DomainResource - osnovni tip koji većina nasljeđuje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Ima ljudski čitljiv dio, dodatne resurse i ekstenziej</w:t>
      </w:r>
    </w:p>
    <w:p w:rsidR="00000000" w:rsidDel="00000000" w:rsidP="00000000" w:rsidRDefault="00000000" w:rsidRPr="00000000" w14:paraId="0000009F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Identifikacija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Logical Id- pristup na lokalnom poslužitelju, mijenja se s promjenom lokacije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Business Id - ostaje fiksan, za prepoznat isti sadržaj s više poslužitelja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Canonical URL - za referenciranje izvora znanja i profila podržanosti, zapravo URI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NIJE FHIR resurs: spol, krvni tlak, trudnoća, elektronički zdravstveni zapis</w:t>
      </w:r>
    </w:p>
    <w:p w:rsidR="00000000" w:rsidDel="00000000" w:rsidP="00000000" w:rsidRDefault="00000000" w:rsidRPr="00000000" w14:paraId="000000A5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Referenciranje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Generičke reference 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Treba bar 1 od: reference, Id ili display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Reference ima url kao apsolutni, relativni ili contained resource = Literal resouces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Logične reference- kroz id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Display - za opis resursa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Kanoničke reference</w:t>
      </w:r>
    </w:p>
    <w:p w:rsidR="00000000" w:rsidDel="00000000" w:rsidP="00000000" w:rsidRDefault="00000000" w:rsidRPr="00000000" w14:paraId="000000AD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Contained Resources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Resurs ne postoji izvan ovog koji ga sadrži - nema id, niti se može prenosi sam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Npr kad postoji samo parcijalna informacija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Treba izbjegavati</w:t>
      </w:r>
    </w:p>
    <w:p w:rsidR="00000000" w:rsidDel="00000000" w:rsidP="00000000" w:rsidRDefault="00000000" w:rsidRPr="00000000" w14:paraId="000000B2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Podatkovni elementi u resursima: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Primitivni: time, date, decimal, id, integer, string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Kompleksi za generalnu upotrebu: ratio, period, money, age, distance, adress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Meda data: contractDetail, Contributor, DataRequirement, Expression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Podatkovni elementi za spec upotrebu: Reference, xhtml, Narrative, Extension</w:t>
      </w:r>
    </w:p>
    <w:p w:rsidR="00000000" w:rsidDel="00000000" w:rsidP="00000000" w:rsidRDefault="00000000" w:rsidRPr="00000000" w14:paraId="000000B8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4 implementacijske paradigme: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REST- razmjena info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Documents - slanje u trenutku i kontekstu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Messages - slanje info o događaju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Services - ostale razmjene info</w:t>
      </w:r>
    </w:p>
    <w:p w:rsidR="00000000" w:rsidDel="00000000" w:rsidP="00000000" w:rsidRDefault="00000000" w:rsidRPr="00000000" w14:paraId="000000BE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Bundle - kontejner za skup resursa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3 resursa koji omogućavaju grupiranje: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List Resource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Group Resource - grupa specifičnih ljudi, životinja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Resource - set info koje daju jedinstveni sadržaj i kontekst</w:t>
      </w:r>
    </w:p>
    <w:p w:rsidR="00000000" w:rsidDel="00000000" w:rsidP="00000000" w:rsidRDefault="00000000" w:rsidRPr="00000000" w14:paraId="000000C4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Ekstenzije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kontrolirane , upravjive i objavljene u registru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80/20 koncept - 20% su ekstenzije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Svaki element može imat ekstenziju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Aplikacije mogu odbiti resurs ne zbog ekstenzije nego zbog specifičnog sadržaja ekstenzije</w:t>
      </w:r>
    </w:p>
    <w:p w:rsidR="00000000" w:rsidDel="00000000" w:rsidP="00000000" w:rsidRDefault="00000000" w:rsidRPr="00000000" w14:paraId="000000CA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Implementacije: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Argonaut Project, Da Vinci Project, Industry Pledge</w:t>
      </w:r>
    </w:p>
    <w:p w:rsidR="00000000" w:rsidDel="00000000" w:rsidP="00000000" w:rsidRDefault="00000000" w:rsidRPr="00000000" w14:paraId="000000CD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Protiv FHIRa: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80/20 do neupravljivog broja ekstenzija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Nema query language</w:t>
      </w:r>
    </w:p>
    <w:p w:rsidR="00000000" w:rsidDel="00000000" w:rsidP="00000000" w:rsidRDefault="00000000" w:rsidRPr="00000000" w14:paraId="000000D1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right="-90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IHE profili</w:t>
      </w:r>
    </w:p>
    <w:p w:rsidR="00000000" w:rsidDel="00000000" w:rsidP="00000000" w:rsidRDefault="00000000" w:rsidRPr="00000000" w14:paraId="000000D7">
      <w:pPr>
        <w:ind w:left="72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IHE –Integrating the Healthcare Enterprise, 1998. U SAD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IHE implementacijski okvir definira ograničenja i odabir konfiguracijskih opcija</w:t>
      </w:r>
    </w:p>
    <w:p w:rsidR="00000000" w:rsidDel="00000000" w:rsidP="00000000" w:rsidRDefault="00000000" w:rsidRPr="00000000" w14:paraId="000000DA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Norme su: fundamentalne, široke u impl i interpretaciji a uske u primjeni, komplekse i mnogobrojne, fokusirane na implementacije</w:t>
      </w:r>
    </w:p>
    <w:p w:rsidR="00000000" w:rsidDel="00000000" w:rsidP="00000000" w:rsidRDefault="00000000" w:rsidRPr="00000000" w14:paraId="000000DC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Implementacijska strategija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Pragmatičnost - norme za brzi razvoj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Fleksibilnost - sloboda u izradi arhitekture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Primjenjivost - podrška novim UC-ovima</w:t>
      </w:r>
    </w:p>
    <w:p w:rsidR="00000000" w:rsidDel="00000000" w:rsidP="00000000" w:rsidRDefault="00000000" w:rsidRPr="00000000" w14:paraId="000000E1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Ključne komponente: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Actor - apstrakcija funkcije, jasno definirana uloga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Skup uloga i odgovornosti koje snosi pojedini sustav, mapira se na aplikacije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- sudionici su uključeni u jasno definirane transakcije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Set interakcija ili poruka između 2 sudionika</w:t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Definira suradnju da se ispuni zadatak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Integracijski profil - skup izmjena info u stvarnom svijetu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Definirani aktori i transakcije</w:t>
      </w:r>
    </w:p>
    <w:p w:rsidR="00000000" w:rsidDel="00000000" w:rsidP="00000000" w:rsidRDefault="00000000" w:rsidRPr="00000000" w14:paraId="000000EA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Tehnički okvir = implementacijski okvir za integracijske profile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Najčešće obuhvaća više integracijskih profila</w:t>
      </w:r>
    </w:p>
    <w:p w:rsidR="00000000" w:rsidDel="00000000" w:rsidP="00000000" w:rsidRDefault="00000000" w:rsidRPr="00000000" w14:paraId="000000ED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Connectathon - 7 dana testiranja, dokaz izmjene info s drugim proizvodom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Product registry</w:t>
      </w:r>
    </w:p>
    <w:p w:rsidR="00000000" w:rsidDel="00000000" w:rsidP="00000000" w:rsidRDefault="00000000" w:rsidRPr="00000000" w14:paraId="000000F0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IHE ITI profili: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Consistent Time - Network Time protokol , sinkronizacija satova i  vremenskih oznaka na mreži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ATNA - sigurnosne mjere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Autentikacija i identifikacija hosta, sigurni čvorovi za kontrolu pristupa i audit log</w:t>
      </w:r>
    </w:p>
    <w:p w:rsidR="00000000" w:rsidDel="00000000" w:rsidP="00000000" w:rsidRDefault="00000000" w:rsidRPr="00000000" w14:paraId="000000F5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Patient Identifier Cross Referencing PIX - referenciranja ID pacijenta između bolnica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2 domene:</w:t>
      </w:r>
    </w:p>
    <w:p w:rsidR="00000000" w:rsidDel="00000000" w:rsidP="00000000" w:rsidRDefault="00000000" w:rsidRPr="00000000" w14:paraId="000000F8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Patient identifier domain - skup sustava s istom politikom id</w:t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Patient identifier cross domain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Patient Demographics Query PDQ - dohvat demografskih info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Baziranih na: parc ili cijelom imenu  i id-ju pacijenta, datumu rođenja, dobi, id-ju kreveta</w:t>
      </w:r>
    </w:p>
    <w:p w:rsidR="00000000" w:rsidDel="00000000" w:rsidP="00000000" w:rsidRDefault="00000000" w:rsidRPr="00000000" w14:paraId="000000FC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XDS- Cross document sharing profile</w:t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Entiteti:</w:t>
      </w:r>
    </w:p>
    <w:p w:rsidR="00000000" w:rsidDel="00000000" w:rsidP="00000000" w:rsidRDefault="00000000" w:rsidRPr="00000000" w14:paraId="000000FF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 repository - odgovoran za pohranu i upite za dohvat</w:t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 Registry - pohranu info o dokumentima da se lako nađu</w:t>
      </w:r>
    </w:p>
    <w:p w:rsidR="00000000" w:rsidDel="00000000" w:rsidP="00000000" w:rsidRDefault="00000000" w:rsidRPr="00000000" w14:paraId="00000101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 Consumer - kroz njega se pristupa dokumentima</w:t>
      </w:r>
    </w:p>
    <w:p w:rsidR="00000000" w:rsidDel="00000000" w:rsidP="00000000" w:rsidRDefault="00000000" w:rsidRPr="00000000" w14:paraId="00000102">
      <w:pPr>
        <w:ind w:left="153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Affinity domena - grupa app i organizacija koje dijele komunikacijsku infrastrukturu</w:t>
      </w:r>
    </w:p>
    <w:p w:rsidR="00000000" w:rsidDel="00000000" w:rsidP="00000000" w:rsidRDefault="00000000" w:rsidRPr="00000000" w14:paraId="00000104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Očekuje se da postoje jasne definicije i poslovna pravila, al se ne definiraju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XDS neutralan po sadržaju, može bilo kakvu kliničku info slat</w:t>
      </w:r>
    </w:p>
    <w:p w:rsidR="00000000" w:rsidDel="00000000" w:rsidP="00000000" w:rsidRDefault="00000000" w:rsidRPr="00000000" w14:paraId="00000106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108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 Source - stvara dokumente i šalje u repozitorij, osigurava metopodatke za Registry</w:t>
      </w:r>
    </w:p>
    <w:p w:rsidR="00000000" w:rsidDel="00000000" w:rsidP="00000000" w:rsidRDefault="00000000" w:rsidRPr="00000000" w14:paraId="00000109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 Consumer - šalje upit registru i prima dokument od Repositorija</w:t>
      </w:r>
    </w:p>
    <w:p w:rsidR="00000000" w:rsidDel="00000000" w:rsidP="00000000" w:rsidRDefault="00000000" w:rsidRPr="00000000" w14:paraId="0000010A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 Registry - održava metapodatke od dokumentima, odgovara na upite consumera</w:t>
      </w:r>
    </w:p>
    <w:p w:rsidR="00000000" w:rsidDel="00000000" w:rsidP="00000000" w:rsidRDefault="00000000" w:rsidRPr="00000000" w14:paraId="0000010B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 Repository - odgovoran za perzistenciju dokumenata i registraciju u Registry</w:t>
      </w:r>
    </w:p>
    <w:p w:rsidR="00000000" w:rsidDel="00000000" w:rsidP="00000000" w:rsidRDefault="00000000" w:rsidRPr="00000000" w14:paraId="0000010C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right="-90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IHE Profili 2</w:t>
      </w:r>
    </w:p>
    <w:p w:rsidR="00000000" w:rsidDel="00000000" w:rsidP="00000000" w:rsidRDefault="00000000" w:rsidRPr="00000000" w14:paraId="00000112">
      <w:pPr>
        <w:ind w:left="72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EHR-CR - apstrakcija informacijskog sustava, ne uvjetuje kako funkcionira interno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 Souce ili Consumer</w:t>
      </w:r>
    </w:p>
    <w:p w:rsidR="00000000" w:rsidDel="00000000" w:rsidP="00000000" w:rsidRDefault="00000000" w:rsidRPr="00000000" w14:paraId="00000115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XDS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XDS Document - najmanja jedinica koja se može poslat Repo i registrirati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Mogućnost upravljanja, autentikacije, cijelovitost i prezistencija</w:t>
      </w:r>
    </w:p>
    <w:p w:rsidR="00000000" w:rsidDel="00000000" w:rsidP="00000000" w:rsidRDefault="00000000" w:rsidRPr="00000000" w14:paraId="00000119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Submission request - način na koji se razmjenjuju dokumenti</w:t>
      </w:r>
    </w:p>
    <w:p w:rsidR="00000000" w:rsidDel="00000000" w:rsidP="00000000" w:rsidRDefault="00000000" w:rsidRPr="00000000" w14:paraId="0000011B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Treba sadržavati: metapodatke za entries, listu dokumenta i kazala koji se šalju, mapa koje se kreiraju, mapa u koje se pohranjuju dokumenti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Dokumenti se šalju kao octet streams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Submission Set se kreira za svaki request - veže se za jedinstvenu transakciju Source-Repo ili Repo-Registry</w:t>
      </w:r>
    </w:p>
    <w:p w:rsidR="00000000" w:rsidDel="00000000" w:rsidP="00000000" w:rsidRDefault="00000000" w:rsidRPr="00000000" w14:paraId="0000011E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XDS mape - grupira dokumente za jedinstvenog pacijenta, dokumenti mogu iz više Souceova, mape su permanente u Registriju i imaju globalni ID, mape nemogu bit ugnježdene, isti dokument može u više mapa</w:t>
      </w:r>
    </w:p>
    <w:p w:rsidR="00000000" w:rsidDel="00000000" w:rsidP="00000000" w:rsidRDefault="00000000" w:rsidRPr="00000000" w14:paraId="00000120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Document Entry - metapodaci za dokument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Stable ili On-Demand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Primarni atributi: patient Id, Service Time, Doc Creation Time, Doc Class, Healthcare Facility, …</w:t>
      </w:r>
    </w:p>
    <w:p w:rsidR="00000000" w:rsidDel="00000000" w:rsidP="00000000" w:rsidRDefault="00000000" w:rsidRPr="00000000" w14:paraId="00000124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IHE Transakcije 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Definirane kroz: okvir i UC, dionike, norme koje se koriste, poruke i protokol i sigurnosni aspekti</w:t>
      </w:r>
    </w:p>
    <w:p w:rsidR="00000000" w:rsidDel="00000000" w:rsidP="00000000" w:rsidRDefault="00000000" w:rsidRPr="00000000" w14:paraId="00000127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BPPC - Basic Patient Privacy Consent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Izražava politike pristupa pojedinim dokumentima - svaka politika ima OID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2 dionika:</w:t>
      </w:r>
    </w:p>
    <w:p w:rsidR="00000000" w:rsidDel="00000000" w:rsidP="00000000" w:rsidRDefault="00000000" w:rsidRPr="00000000" w14:paraId="0000012B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Content creator- šalje sadržaj i kreira BPP dokument s kojim potvrđuje neku politiku</w:t>
      </w:r>
    </w:p>
    <w:p w:rsidR="00000000" w:rsidDel="00000000" w:rsidP="00000000" w:rsidRDefault="00000000" w:rsidRPr="00000000" w14:paraId="0000012C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BPP se tretira kao medical document</w:t>
      </w:r>
    </w:p>
    <w:p w:rsidR="00000000" w:rsidDel="00000000" w:rsidP="00000000" w:rsidRDefault="00000000" w:rsidRPr="00000000" w14:paraId="0000012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Content Consumer - prima sadržaj i može pregledati dokument vezan uz politiku</w:t>
      </w:r>
    </w:p>
    <w:p w:rsidR="00000000" w:rsidDel="00000000" w:rsidP="00000000" w:rsidRDefault="00000000" w:rsidRPr="00000000" w14:paraId="0000012E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Unutar XDS 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Consumer dohvaća Patient Privacy Policy Acknowledgement i mapira doc s politikama</w:t>
      </w:r>
    </w:p>
    <w:p w:rsidR="00000000" w:rsidDel="00000000" w:rsidP="00000000" w:rsidRDefault="00000000" w:rsidRPr="00000000" w14:paraId="0000013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confidatialityCode - koja se politika primjenjuje</w:t>
      </w:r>
    </w:p>
    <w:p w:rsidR="00000000" w:rsidDel="00000000" w:rsidP="00000000" w:rsidRDefault="00000000" w:rsidRPr="00000000" w14:paraId="00000132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XCA - Cross Comunity Access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Gateway je sučelje između zajendica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2 Transakcije:</w:t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Query - šalje upit s ID pacijenta, dobiva set identifikatora za dohvat dokumenta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Retreive - dohvaća dokument iz druge zajednice</w:t>
      </w:r>
    </w:p>
    <w:p w:rsidR="00000000" w:rsidDel="00000000" w:rsidP="00000000" w:rsidRDefault="00000000" w:rsidRPr="00000000" w14:paraId="00000138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XCPD - Cross Community Patient Discovery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Pronalaženje zajednica koje imaju podatke o pacijentima od interesa pa razmjenu identifikatora od tih pacijenata</w:t>
      </w:r>
    </w:p>
    <w:p w:rsidR="00000000" w:rsidDel="00000000" w:rsidP="00000000" w:rsidRDefault="00000000" w:rsidRPr="00000000" w14:paraId="0000013B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XCDR - Cross Community Document Reliable Interchange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Oslanja se na XDS i XDR</w:t>
      </w:r>
    </w:p>
    <w:p w:rsidR="00000000" w:rsidDel="00000000" w:rsidP="00000000" w:rsidRDefault="00000000" w:rsidRPr="00000000" w14:paraId="0000013E">
      <w:pPr>
        <w:ind w:left="-1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epSOS projekt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Dizajn izrada i evaluacija arhitekture za razmjenu medicinskih podataka između članica EU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Svaka članica ima neku svoju infrastukturu koja se ne mijenja</w:t>
      </w:r>
    </w:p>
    <w:p w:rsidR="00000000" w:rsidDel="00000000" w:rsidP="00000000" w:rsidRDefault="00000000" w:rsidRPr="00000000" w14:paraId="0000014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National Contract Point je gateway između država</w:t>
      </w:r>
    </w:p>
    <w:p w:rsidR="00000000" w:rsidDel="00000000" w:rsidP="00000000" w:rsidRDefault="00000000" w:rsidRPr="00000000" w14:paraId="00000143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MHD - Mobile Access to Health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4 transkacije</w:t>
      </w:r>
    </w:p>
    <w:p w:rsidR="00000000" w:rsidDel="00000000" w:rsidP="00000000" w:rsidRDefault="00000000" w:rsidRPr="00000000" w14:paraId="0000014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slanje seta dokumenata i metapodataka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Pronalaženje seta metapodataka </w:t>
      </w:r>
    </w:p>
    <w:p w:rsidR="00000000" w:rsidDel="00000000" w:rsidP="00000000" w:rsidRDefault="00000000" w:rsidRPr="00000000" w14:paraId="00000148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Pronalaženje documentEntries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Dohvat kopije dokumenta</w:t>
      </w:r>
    </w:p>
    <w:p w:rsidR="00000000" w:rsidDel="00000000" w:rsidP="00000000" w:rsidRDefault="00000000" w:rsidRPr="00000000" w14:paraId="0000014A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IHE Devices domena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PCD Patient Care Device - certificirani medicinski uređaj komunicira s drugim med uređajem ili informacijskim sustavom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PCH - Personal Connected Health - integracija osobnih monitoring uređaja i kliničkih sustava</w:t>
      </w:r>
    </w:p>
    <w:p w:rsidR="00000000" w:rsidDel="00000000" w:rsidP="00000000" w:rsidRDefault="00000000" w:rsidRPr="00000000" w14:paraId="0000014E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900" w:right="-9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right="-9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openEHR</w:t>
      </w:r>
    </w:p>
    <w:p w:rsidR="00000000" w:rsidDel="00000000" w:rsidP="00000000" w:rsidRDefault="00000000" w:rsidRPr="00000000" w14:paraId="00000154">
      <w:pPr>
        <w:ind w:left="72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Sveti gral zdravstva - elektronički zdravstveni zapis za svakog pojedinca bez obzira na tehnologiju, lokaciju i aplikaciju</w:t>
      </w:r>
    </w:p>
    <w:p w:rsidR="00000000" w:rsidDel="00000000" w:rsidP="00000000" w:rsidRDefault="00000000" w:rsidRPr="00000000" w14:paraId="00000156">
      <w:pPr>
        <w:ind w:left="-90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-90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openEHR 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 radi na tome da pretvori fizičke zapise u elektroničke i osiguraju interoperabilnost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Two - level modelling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Archetypes - maksimalni data set</w:t>
      </w:r>
    </w:p>
    <w:p w:rsidR="00000000" w:rsidDel="00000000" w:rsidP="00000000" w:rsidRDefault="00000000" w:rsidRPr="00000000" w14:paraId="0000015B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Templates </w:t>
      </w:r>
    </w:p>
    <w:p w:rsidR="00000000" w:rsidDel="00000000" w:rsidP="00000000" w:rsidRDefault="00000000" w:rsidRPr="00000000" w14:paraId="0000015C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Struktura EHR:</w:t>
      </w:r>
    </w:p>
    <w:p w:rsidR="00000000" w:rsidDel="00000000" w:rsidP="00000000" w:rsidRDefault="00000000" w:rsidRPr="00000000" w14:paraId="0000015E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EHR-access - tko može pristupiti</w:t>
      </w:r>
    </w:p>
    <w:p w:rsidR="00000000" w:rsidDel="00000000" w:rsidP="00000000" w:rsidRDefault="00000000" w:rsidRPr="00000000" w14:paraId="0000015F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EHR_status - status i control info, može imat subjekta(pacijenta)</w:t>
      </w:r>
    </w:p>
    <w:p w:rsidR="00000000" w:rsidDel="00000000" w:rsidP="00000000" w:rsidRDefault="00000000" w:rsidRPr="00000000" w14:paraId="00000160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Directory- hijerarhija foldera za organizaciju Kompozicija</w:t>
      </w:r>
    </w:p>
    <w:p w:rsidR="00000000" w:rsidDel="00000000" w:rsidP="00000000" w:rsidRDefault="00000000" w:rsidRPr="00000000" w14:paraId="00000161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Kompozicija - najmanja jedinica koja se može primiti</w:t>
      </w:r>
    </w:p>
    <w:p w:rsidR="00000000" w:rsidDel="00000000" w:rsidP="00000000" w:rsidRDefault="00000000" w:rsidRPr="00000000" w14:paraId="00000163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Sadrži: tko, što, gdje i kada i kontekst</w:t>
      </w:r>
    </w:p>
    <w:p w:rsidR="00000000" w:rsidDel="00000000" w:rsidP="00000000" w:rsidRDefault="00000000" w:rsidRPr="00000000" w14:paraId="00000164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Može imat koje su Sekcije dopuštene</w:t>
      </w:r>
    </w:p>
    <w:p w:rsidR="00000000" w:rsidDel="00000000" w:rsidP="00000000" w:rsidRDefault="00000000" w:rsidRPr="00000000" w14:paraId="00000165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Updateovi se spremaju kao nove verzije</w:t>
      </w:r>
    </w:p>
    <w:p w:rsidR="00000000" w:rsidDel="00000000" w:rsidP="00000000" w:rsidRDefault="00000000" w:rsidRPr="00000000" w14:paraId="00000166">
      <w:pPr>
        <w:ind w:left="153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Sekcija</w:t>
      </w:r>
    </w:p>
    <w:p w:rsidR="00000000" w:rsidDel="00000000" w:rsidP="00000000" w:rsidRDefault="00000000" w:rsidRPr="00000000" w14:paraId="00000168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Standardizira organizaciju info unutar Kompozicije</w:t>
      </w:r>
    </w:p>
    <w:p w:rsidR="00000000" w:rsidDel="00000000" w:rsidP="00000000" w:rsidRDefault="00000000" w:rsidRPr="00000000" w14:paraId="00000169">
      <w:pPr>
        <w:ind w:left="153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Entry - clinical statement</w:t>
      </w:r>
    </w:p>
    <w:p w:rsidR="00000000" w:rsidDel="00000000" w:rsidP="00000000" w:rsidRDefault="00000000" w:rsidRPr="00000000" w14:paraId="0000016B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2 vrste - Care Entry i Admin Entry</w:t>
      </w:r>
    </w:p>
    <w:p w:rsidR="00000000" w:rsidDel="00000000" w:rsidP="00000000" w:rsidRDefault="00000000" w:rsidRPr="00000000" w14:paraId="0000016C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Značajke:</w:t>
      </w:r>
    </w:p>
    <w:p w:rsidR="00000000" w:rsidDel="00000000" w:rsidP="00000000" w:rsidRDefault="00000000" w:rsidRPr="00000000" w14:paraId="0000016D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Protokol - info o metodi observacije, info koje nisu kritične za interpretaciju</w:t>
      </w:r>
    </w:p>
    <w:p w:rsidR="00000000" w:rsidDel="00000000" w:rsidP="00000000" w:rsidRDefault="00000000" w:rsidRPr="00000000" w14:paraId="0000016E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History - zapis tajminga observacija</w:t>
      </w:r>
    </w:p>
    <w:p w:rsidR="00000000" w:rsidDel="00000000" w:rsidP="00000000" w:rsidRDefault="00000000" w:rsidRPr="00000000" w14:paraId="0000016F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State - info bitne za dobru interpretaciju</w:t>
      </w:r>
    </w:p>
    <w:p w:rsidR="00000000" w:rsidDel="00000000" w:rsidP="00000000" w:rsidRDefault="00000000" w:rsidRPr="00000000" w14:paraId="00000170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Pathway - definicija workflowa i koraci</w:t>
      </w:r>
    </w:p>
    <w:p w:rsidR="00000000" w:rsidDel="00000000" w:rsidP="00000000" w:rsidRDefault="00000000" w:rsidRPr="00000000" w14:paraId="00000171">
      <w:pPr>
        <w:ind w:left="234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Vrste:</w:t>
      </w:r>
    </w:p>
    <w:p w:rsidR="00000000" w:rsidDel="00000000" w:rsidP="00000000" w:rsidRDefault="00000000" w:rsidRPr="00000000" w14:paraId="00000173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- observacija, mjerenje ili doživljaj pacijenta</w:t>
      </w:r>
    </w:p>
    <w:p w:rsidR="00000000" w:rsidDel="00000000" w:rsidP="00000000" w:rsidRDefault="00000000" w:rsidRPr="00000000" w14:paraId="00000174">
      <w:pPr>
        <w:numPr>
          <w:ilvl w:val="5"/>
          <w:numId w:val="2"/>
        </w:numPr>
        <w:ind w:left="37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Kad treba znati vrijeme i stanje</w:t>
      </w:r>
    </w:p>
    <w:p w:rsidR="00000000" w:rsidDel="00000000" w:rsidP="00000000" w:rsidRDefault="00000000" w:rsidRPr="00000000" w14:paraId="00000175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Evaluacija - mišljenje, cilj, interpretirani pronalazak koji proizlazi iz observiranih ili mjerenih info</w:t>
      </w:r>
    </w:p>
    <w:p w:rsidR="00000000" w:rsidDel="00000000" w:rsidP="00000000" w:rsidRDefault="00000000" w:rsidRPr="00000000" w14:paraId="00000176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Instrukcije - intervencije nakon evaluacije</w:t>
      </w:r>
    </w:p>
    <w:p w:rsidR="00000000" w:rsidDel="00000000" w:rsidP="00000000" w:rsidRDefault="00000000" w:rsidRPr="00000000" w14:paraId="00000177">
      <w:pPr>
        <w:numPr>
          <w:ilvl w:val="5"/>
          <w:numId w:val="2"/>
        </w:numPr>
        <w:ind w:left="37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Activity - ako su u budućnosit</w:t>
      </w:r>
    </w:p>
    <w:p w:rsidR="00000000" w:rsidDel="00000000" w:rsidP="00000000" w:rsidRDefault="00000000" w:rsidRPr="00000000" w14:paraId="00000178">
      <w:pPr>
        <w:numPr>
          <w:ilvl w:val="5"/>
          <w:numId w:val="2"/>
        </w:numPr>
        <w:ind w:left="37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Actions - ako se zapisuje što se več desilo</w:t>
      </w:r>
    </w:p>
    <w:p w:rsidR="00000000" w:rsidDel="00000000" w:rsidP="00000000" w:rsidRDefault="00000000" w:rsidRPr="00000000" w14:paraId="00000179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Actions -poredani slijed aktivnosti</w:t>
      </w:r>
    </w:p>
    <w:p w:rsidR="00000000" w:rsidDel="00000000" w:rsidP="00000000" w:rsidRDefault="00000000" w:rsidRPr="00000000" w14:paraId="0000017A">
      <w:pPr>
        <w:ind w:left="234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Klasteri</w:t>
      </w:r>
    </w:p>
    <w:p w:rsidR="00000000" w:rsidDel="00000000" w:rsidP="00000000" w:rsidRDefault="00000000" w:rsidRPr="00000000" w14:paraId="0000017C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Compound entries</w:t>
      </w:r>
    </w:p>
    <w:p w:rsidR="00000000" w:rsidDel="00000000" w:rsidP="00000000" w:rsidRDefault="00000000" w:rsidRPr="00000000" w14:paraId="0000017D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Dobri za re-use</w:t>
      </w:r>
    </w:p>
    <w:p w:rsidR="00000000" w:rsidDel="00000000" w:rsidP="00000000" w:rsidRDefault="00000000" w:rsidRPr="00000000" w14:paraId="0000017E">
      <w:pPr>
        <w:numPr>
          <w:ilvl w:val="4"/>
          <w:numId w:val="2"/>
        </w:numPr>
        <w:ind w:left="234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Omogućuju ugnježdavanje granularnih detalja</w:t>
      </w:r>
    </w:p>
    <w:p w:rsidR="00000000" w:rsidDel="00000000" w:rsidP="00000000" w:rsidRDefault="00000000" w:rsidRPr="00000000" w14:paraId="0000017F">
      <w:pPr>
        <w:ind w:left="234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2- level moddeling:</w:t>
      </w:r>
    </w:p>
    <w:p w:rsidR="00000000" w:rsidDel="00000000" w:rsidP="00000000" w:rsidRDefault="00000000" w:rsidRPr="00000000" w14:paraId="00000181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Reference model- stabilan model objekata iz kojeg se radi software</w:t>
      </w:r>
    </w:p>
    <w:p w:rsidR="00000000" w:rsidDel="00000000" w:rsidP="00000000" w:rsidRDefault="00000000" w:rsidRPr="00000000" w14:paraId="00000182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Archetypes i templates - definicije na razini domene</w:t>
      </w:r>
    </w:p>
    <w:p w:rsidR="00000000" w:rsidDel="00000000" w:rsidP="00000000" w:rsidRDefault="00000000" w:rsidRPr="00000000" w14:paraId="00000183">
      <w:pPr>
        <w:ind w:left="153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Archetypes - specifikacija za klinički koncept, maksimiziraju interoperabilnost</w:t>
      </w:r>
    </w:p>
    <w:p w:rsidR="00000000" w:rsidDel="00000000" w:rsidP="00000000" w:rsidRDefault="00000000" w:rsidRPr="00000000" w14:paraId="00000185">
      <w:pPr>
        <w:numPr>
          <w:ilvl w:val="3"/>
          <w:numId w:val="2"/>
        </w:numPr>
        <w:ind w:left="153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Deployaju se u runtimeu preko templates</w:t>
      </w:r>
    </w:p>
    <w:p w:rsidR="00000000" w:rsidDel="00000000" w:rsidP="00000000" w:rsidRDefault="00000000" w:rsidRPr="00000000" w14:paraId="0000018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Templates - specificira drvo archetypeova</w:t>
      </w:r>
    </w:p>
    <w:p w:rsidR="00000000" w:rsidDel="00000000" w:rsidP="00000000" w:rsidRDefault="00000000" w:rsidRPr="00000000" w14:paraId="00000187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29138" cy="2787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78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right="-900"/>
        <w:rPr/>
      </w:pPr>
      <w:r w:rsidDel="00000000" w:rsidR="00000000" w:rsidRPr="00000000">
        <w:rPr/>
        <w:drawing>
          <wp:inline distB="114300" distT="114300" distL="114300" distR="114300">
            <wp:extent cx="5148263" cy="29041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90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right="-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Archetypes Query Language AQL</w:t>
      </w:r>
    </w:p>
    <w:p w:rsidR="00000000" w:rsidDel="00000000" w:rsidP="00000000" w:rsidRDefault="00000000" w:rsidRPr="00000000" w14:paraId="0000018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Nezavisan od aplikacija, programskih jezika, sistemskih okruženja i modela spremanja</w:t>
      </w:r>
    </w:p>
    <w:p w:rsidR="00000000" w:rsidDel="00000000" w:rsidP="00000000" w:rsidRDefault="00000000" w:rsidRPr="00000000" w14:paraId="0000018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Sinteza SQL i XPath</w:t>
      </w:r>
    </w:p>
    <w:p w:rsidR="00000000" w:rsidDel="00000000" w:rsidP="00000000" w:rsidRDefault="00000000" w:rsidRPr="00000000" w14:paraId="0000018E">
      <w:pPr>
        <w:ind w:left="720" w:right="-9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Verzioniranje</w:t>
      </w:r>
    </w:p>
    <w:p w:rsidR="00000000" w:rsidDel="00000000" w:rsidP="00000000" w:rsidRDefault="00000000" w:rsidRPr="00000000" w14:paraId="00000191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Promjene preko change seta zvanih Contributions</w:t>
      </w:r>
    </w:p>
    <w:p w:rsidR="00000000" w:rsidDel="00000000" w:rsidP="00000000" w:rsidRDefault="00000000" w:rsidRPr="00000000" w14:paraId="00000192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Identifikacija: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 1 sistemu nesmije bit 2 EHR za isti subjekt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 distrubuiranom okruženju, pacijent može imat više EHR u različitim sustavima</w:t>
      </w:r>
    </w:p>
    <w:p w:rsidR="00000000" w:rsidDel="00000000" w:rsidP="00000000" w:rsidRDefault="00000000" w:rsidRPr="00000000" w14:paraId="00000196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U integiranom okruženju može EHR na više sustava ali s istim id</w:t>
      </w:r>
    </w:p>
    <w:p w:rsidR="00000000" w:rsidDel="00000000" w:rsidP="00000000" w:rsidRDefault="00000000" w:rsidRPr="00000000" w14:paraId="00000197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Terminologija - svaki archetype ima vlastitu, da se definira značenje elemenata</w:t>
      </w:r>
    </w:p>
    <w:p w:rsidR="00000000" w:rsidDel="00000000" w:rsidP="00000000" w:rsidRDefault="00000000" w:rsidRPr="00000000" w14:paraId="00000199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Može se i povezati s vanjskim i mapirat s pojmovima</w:t>
      </w:r>
    </w:p>
    <w:p w:rsidR="00000000" w:rsidDel="00000000" w:rsidP="00000000" w:rsidRDefault="00000000" w:rsidRPr="00000000" w14:paraId="0000019A">
      <w:pPr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ind w:left="-18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Sigurnost </w:t>
      </w:r>
    </w:p>
    <w:p w:rsidR="00000000" w:rsidDel="00000000" w:rsidP="00000000" w:rsidRDefault="00000000" w:rsidRPr="00000000" w14:paraId="0000019C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Sadržaj je odvojen od identificiranja demografskih info</w:t>
      </w:r>
    </w:p>
    <w:p w:rsidR="00000000" w:rsidDel="00000000" w:rsidP="00000000" w:rsidRDefault="00000000" w:rsidRPr="00000000" w14:paraId="0000019D">
      <w:pPr>
        <w:numPr>
          <w:ilvl w:val="2"/>
          <w:numId w:val="2"/>
        </w:numPr>
        <w:ind w:left="72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Sve odluke o pristupu po politici u EHR_ACCESS</w:t>
      </w:r>
    </w:p>
    <w:p w:rsidR="00000000" w:rsidDel="00000000" w:rsidP="00000000" w:rsidRDefault="00000000" w:rsidRPr="00000000" w14:paraId="0000019E">
      <w:pPr>
        <w:ind w:left="0" w:right="-9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1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3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7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