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C64" w:rsidRPr="00076C64" w:rsidRDefault="00076C64" w:rsidP="00076C64">
      <w:pPr>
        <w:rPr>
          <w:i/>
          <w:sz w:val="28"/>
          <w:szCs w:val="28"/>
        </w:rPr>
      </w:pPr>
      <w:r w:rsidRPr="00076C64">
        <w:rPr>
          <w:i/>
          <w:sz w:val="28"/>
          <w:szCs w:val="28"/>
        </w:rPr>
        <w:t>Fakultet elektrotehnike i računarstva</w:t>
      </w:r>
      <w:r>
        <w:rPr>
          <w:i/>
          <w:sz w:val="28"/>
          <w:szCs w:val="28"/>
        </w:rPr>
        <w:t>,</w:t>
      </w:r>
    </w:p>
    <w:p w:rsidR="00076C64" w:rsidRDefault="00076C64" w:rsidP="00A070EC">
      <w:pPr>
        <w:ind w:left="360"/>
      </w:pPr>
      <w:r>
        <w:rPr>
          <w:i/>
          <w:sz w:val="28"/>
          <w:szCs w:val="28"/>
        </w:rPr>
        <w:t>Unska 3, 10000 Zagreb</w:t>
      </w: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Pr="00076C64" w:rsidRDefault="00076C64" w:rsidP="00076C64">
      <w:pPr>
        <w:ind w:left="360"/>
        <w:jc w:val="center"/>
        <w:rPr>
          <w:b/>
          <w:i/>
          <w:sz w:val="44"/>
          <w:szCs w:val="44"/>
        </w:rPr>
      </w:pPr>
      <w:r w:rsidRPr="00076C64">
        <w:rPr>
          <w:b/>
          <w:i/>
          <w:sz w:val="44"/>
          <w:szCs w:val="44"/>
        </w:rPr>
        <w:t>Laboratorij iz DINAMIKE I REGULACIJE EES-a</w:t>
      </w:r>
    </w:p>
    <w:p w:rsidR="00076C64" w:rsidRPr="00076C64" w:rsidRDefault="00076C64" w:rsidP="00076C64">
      <w:pPr>
        <w:ind w:left="360"/>
        <w:jc w:val="center"/>
        <w:rPr>
          <w:i/>
          <w:sz w:val="40"/>
          <w:szCs w:val="40"/>
        </w:rPr>
      </w:pPr>
      <w:r w:rsidRPr="00076C64">
        <w:rPr>
          <w:i/>
          <w:sz w:val="40"/>
          <w:szCs w:val="40"/>
        </w:rPr>
        <w:t>STABILNOST GENERATORA</w:t>
      </w: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Default="00076C64" w:rsidP="00A070EC">
      <w:pPr>
        <w:ind w:left="360"/>
      </w:pPr>
    </w:p>
    <w:p w:rsidR="00076C64" w:rsidRPr="00076C64" w:rsidRDefault="00076C64" w:rsidP="00076C64">
      <w:pPr>
        <w:ind w:firstLine="360"/>
        <w:rPr>
          <w:i/>
          <w:sz w:val="32"/>
          <w:szCs w:val="32"/>
        </w:rPr>
      </w:pPr>
      <w:r w:rsidRPr="00076C64">
        <w:rPr>
          <w:i/>
          <w:sz w:val="32"/>
          <w:szCs w:val="32"/>
        </w:rPr>
        <w:t>ANDRO DRAŠKOVIĆ,</w:t>
      </w:r>
    </w:p>
    <w:p w:rsidR="00076C64" w:rsidRPr="00076C64" w:rsidRDefault="00076C64" w:rsidP="00076C64">
      <w:pPr>
        <w:ind w:firstLine="360"/>
        <w:rPr>
          <w:i/>
          <w:sz w:val="32"/>
          <w:szCs w:val="32"/>
        </w:rPr>
      </w:pPr>
      <w:r w:rsidRPr="00076C64">
        <w:rPr>
          <w:i/>
          <w:sz w:val="32"/>
          <w:szCs w:val="32"/>
        </w:rPr>
        <w:t>IVAN ŠIMUNIĆ, 0036442630</w:t>
      </w:r>
    </w:p>
    <w:p w:rsidR="00076C64" w:rsidRPr="00076C64" w:rsidRDefault="00076C64" w:rsidP="00A070EC">
      <w:pPr>
        <w:ind w:left="360"/>
        <w:rPr>
          <w:i/>
          <w:sz w:val="32"/>
          <w:szCs w:val="32"/>
        </w:rPr>
      </w:pPr>
      <w:r w:rsidRPr="00076C64">
        <w:rPr>
          <w:i/>
          <w:sz w:val="32"/>
          <w:szCs w:val="32"/>
        </w:rPr>
        <w:t>IVAN RENDULIĆ,</w:t>
      </w:r>
    </w:p>
    <w:p w:rsidR="00076C64" w:rsidRPr="00076C64" w:rsidRDefault="00076C64" w:rsidP="00076C64">
      <w:pPr>
        <w:ind w:left="360"/>
        <w:rPr>
          <w:sz w:val="32"/>
          <w:szCs w:val="32"/>
        </w:rPr>
      </w:pPr>
      <w:r w:rsidRPr="00076C64">
        <w:rPr>
          <w:i/>
          <w:sz w:val="32"/>
          <w:szCs w:val="32"/>
        </w:rPr>
        <w:t>MARKO TERIHAJ,</w:t>
      </w:r>
    </w:p>
    <w:p w:rsidR="00A070EC" w:rsidRDefault="00076C64" w:rsidP="00A070EC">
      <w:r>
        <w:lastRenderedPageBreak/>
        <w:t>Razlikujemo d</w:t>
      </w:r>
      <w:r w:rsidR="00A070EC">
        <w:t>vije vrste stabilnosti:</w:t>
      </w:r>
    </w:p>
    <w:p w:rsidR="00A070EC" w:rsidRDefault="00A070EC" w:rsidP="00A070EC">
      <w:pPr>
        <w:ind w:left="360"/>
      </w:pPr>
      <w:r>
        <w:t>- prijelazna ili tranzijentalna</w:t>
      </w:r>
    </w:p>
    <w:p w:rsidR="00A070EC" w:rsidRDefault="00A070EC" w:rsidP="00A070EC">
      <w:pPr>
        <w:ind w:left="360"/>
      </w:pPr>
      <w:r>
        <w:t>- stabilnost kod malih poremećaja (statička stabilnost)</w:t>
      </w:r>
    </w:p>
    <w:p w:rsidR="00A070EC" w:rsidRDefault="00A070EC" w:rsidP="00A070EC">
      <w:r>
        <w:t>Prijelazna stabilnost opisuje ponašanje kod naglog poremećaja kao što je kratki spoj. Iako je njegovo trajanje kratko (tipično manje od 150 ms) generator možda neće moći nastaviti s radom. Dolazi do elektromehaničih njihanja i porasta kuta opterećenja delta. Maksimalmi kut opterećenja kod statičke stabilnost je 90 stupnjeva dok kod prijelazne stabilnosti taj kut lako može kratkotrajno biti i preko 120 stupnjeva.</w:t>
      </w:r>
    </w:p>
    <w:p w:rsidR="00A070EC" w:rsidRDefault="00A070EC" w:rsidP="00A070EC">
      <w:r>
        <w:t>Stabilnost kod malih poremećaja se javlja cijelo vrijeme rada generatora, a naročito ako radimo preko dugih vodova i ako je sinkrona reaktancija velika. Ako pri tome generator radi u kapacitivnom području kut opterećenja je samim time veći pa i manji poremećaj može dovesti do nestabilnosti.</w:t>
      </w:r>
    </w:p>
    <w:p w:rsidR="00A070EC" w:rsidRDefault="00A070EC" w:rsidP="00A070EC"/>
    <w:p w:rsidR="00A070EC" w:rsidRDefault="00A070EC" w:rsidP="00A070EC">
      <w:r>
        <w:t>U ustaljenom stanju turbogenerator predaje snagu elektroenergetskom sustavu po izrazu.</w:t>
      </w:r>
    </w:p>
    <w:p w:rsidR="00A070EC" w:rsidRDefault="00A070EC" w:rsidP="00A070EC"/>
    <w:p w:rsidR="00A070EC" w:rsidRDefault="00A070EC" w:rsidP="00A070EC">
      <w:pPr>
        <w:jc w:val="center"/>
      </w:pPr>
      <w:r>
        <w:rPr>
          <w:rFonts w:ascii="Times New Roman" w:eastAsia="Times New Roman" w:hAnsi="Times New Roman" w:cs="Times New Roman"/>
          <w:position w:val="-24"/>
          <w:sz w:val="24"/>
          <w:szCs w:val="24"/>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8.25pt;height:30.75pt" o:ole="">
            <v:imagedata r:id="rId5" o:title=""/>
          </v:shape>
          <o:OLEObject Type="Embed" ProgID="Equation.3" ShapeID="_x0000_i1037" DrawAspect="Content" ObjectID="_1386531654" r:id="rId6"/>
        </w:object>
      </w:r>
    </w:p>
    <w:p w:rsidR="00A070EC" w:rsidRDefault="00A070EC" w:rsidP="00A070EC">
      <w:pPr>
        <w:ind w:left="360"/>
      </w:pPr>
    </w:p>
    <w:p w:rsidR="00A070EC" w:rsidRDefault="00A070EC" w:rsidP="00A070EC">
      <w:pPr>
        <w:ind w:left="360"/>
      </w:pPr>
      <w:r>
        <w:t>Diferencijalna jednadžba gibanja  agregata je:</w:t>
      </w:r>
    </w:p>
    <w:p w:rsidR="00A070EC" w:rsidRDefault="00A070EC" w:rsidP="00A070EC">
      <w:pPr>
        <w:ind w:left="360"/>
      </w:pPr>
    </w:p>
    <w:p w:rsidR="00A070EC" w:rsidRDefault="00A070EC" w:rsidP="00A070EC">
      <w:pPr>
        <w:ind w:left="360"/>
        <w:jc w:val="center"/>
      </w:pPr>
      <w:r>
        <w:rPr>
          <w:rFonts w:ascii="Times New Roman" w:eastAsia="Times New Roman" w:hAnsi="Times New Roman" w:cs="Times New Roman"/>
          <w:position w:val="-30"/>
          <w:sz w:val="24"/>
          <w:szCs w:val="24"/>
        </w:rPr>
        <w:object w:dxaOrig="1940" w:dyaOrig="720">
          <v:shape id="_x0000_i1038" type="#_x0000_t75" style="width:96.75pt;height:36pt" o:ole="">
            <v:imagedata r:id="rId7" o:title=""/>
          </v:shape>
          <o:OLEObject Type="Embed" ProgID="Equation.3" ShapeID="_x0000_i1038" DrawAspect="Content" ObjectID="_1386531655" r:id="rId8"/>
        </w:object>
      </w:r>
    </w:p>
    <w:p w:rsidR="00A070EC" w:rsidRDefault="00A070EC" w:rsidP="00A070EC">
      <w:r>
        <w:t xml:space="preserve">     </w:t>
      </w:r>
    </w:p>
    <w:p w:rsidR="00076C64" w:rsidRDefault="00076C64"/>
    <w:p w:rsidR="00076C64" w:rsidRDefault="00E52527">
      <w:r>
        <w:t xml:space="preserve">Generator zelene elektrane EIM spojen je preko dva voda na krutu mrežu. Na vježbi se provjerava stabilnost za slučaj ispada jednog voda po metodi jednakih površina. Snimaju se prijelazne pojave napona, snage, P, Q  i kuta opterećenja prlikom tropolnog kratkog spoja trajanja 95 ms. </w:t>
      </w:r>
    </w:p>
    <w:p w:rsidR="00A070EC" w:rsidRDefault="00A070EC" w:rsidP="00A070EC">
      <w:pPr>
        <w:ind w:left="360"/>
      </w:pPr>
    </w:p>
    <w:p w:rsidR="00A070EC" w:rsidRDefault="00A070EC" w:rsidP="00A070EC">
      <w:r>
        <w:t>Metoda jednakih površina je grafička metoda određivanja stabilnosti jednog generatora spojenog preko voda na krutu mrežu.</w:t>
      </w:r>
    </w:p>
    <w:p w:rsidR="00E52527" w:rsidRDefault="00A070EC" w:rsidP="00A070EC">
      <w:pPr>
        <w:jc w:val="center"/>
      </w:pPr>
      <w:r>
        <w:rPr>
          <w:rFonts w:ascii="Times New Roman" w:eastAsia="Times New Roman" w:hAnsi="Times New Roman" w:cs="Times New Roman"/>
          <w:sz w:val="24"/>
          <w:szCs w:val="24"/>
          <w:lang w:val="en-US"/>
        </w:rPr>
        <w:object w:dxaOrig="8989" w:dyaOrig="12343">
          <v:shape id="_x0000_i1039" type="#_x0000_t75" style="width:6in;height:468pt" o:ole="">
            <v:imagedata r:id="rId9" o:title=""/>
          </v:shape>
          <o:OLEObject Type="Embed" ProgID="Visio.Drawing.11" ShapeID="_x0000_i1039" DrawAspect="Content" ObjectID="_1386531656" r:id="rId10"/>
        </w:object>
      </w:r>
    </w:p>
    <w:p w:rsidR="00E52527" w:rsidRDefault="00A070EC" w:rsidP="00E52527">
      <w:r>
        <w:t xml:space="preserve">Postupak </w:t>
      </w:r>
      <w:r w:rsidR="00C70E80">
        <w:t xml:space="preserve">pokusa </w:t>
      </w:r>
      <w:r>
        <w:t>te opis instrumenata navedeni su u tekstu ispod</w:t>
      </w:r>
      <w:r w:rsidR="00E52527">
        <w:t>:</w:t>
      </w:r>
    </w:p>
    <w:p w:rsidR="00E52527" w:rsidRDefault="00E52527" w:rsidP="00E52527"/>
    <w:p w:rsidR="00E52527" w:rsidRDefault="00E52527" w:rsidP="00E52527">
      <w:r>
        <w:t>Mjerenje krivulje snaga - kut opterećenja (P-delta)</w:t>
      </w:r>
    </w:p>
    <w:p w:rsidR="00E52527" w:rsidRDefault="00E52527" w:rsidP="00E52527">
      <w:pPr>
        <w:numPr>
          <w:ilvl w:val="0"/>
          <w:numId w:val="1"/>
        </w:numPr>
        <w:spacing w:after="0" w:line="240" w:lineRule="auto"/>
      </w:pPr>
      <w:r>
        <w:t>Sinkronizirati generator na mrežu preko dva voda</w:t>
      </w:r>
    </w:p>
    <w:p w:rsidR="00E52527" w:rsidRDefault="00E52527" w:rsidP="00E52527">
      <w:pPr>
        <w:numPr>
          <w:ilvl w:val="0"/>
          <w:numId w:val="1"/>
        </w:numPr>
        <w:spacing w:after="0" w:line="240" w:lineRule="auto"/>
      </w:pPr>
      <w:r>
        <w:t xml:space="preserve">Podizati snagu P=1, 2, 3 .......do 14 kW. Očitavati kut opterećenja delta. Snagu očitavamo na elektrodinamičkom vatmetru, a kut opterećenja na ekranu mjerača </w:t>
      </w:r>
      <w:r w:rsidR="00A070EC">
        <w:t>faznog kuta između dva napona</w:t>
      </w:r>
    </w:p>
    <w:p w:rsidR="00E52527" w:rsidRDefault="00E52527" w:rsidP="00E52527">
      <w:pPr>
        <w:numPr>
          <w:ilvl w:val="0"/>
          <w:numId w:val="1"/>
        </w:numPr>
        <w:spacing w:after="0" w:line="240" w:lineRule="auto"/>
      </w:pPr>
      <w:r>
        <w:t xml:space="preserve">Ponoviti pokus (P-delta) za pojedinačne vodove </w:t>
      </w:r>
    </w:p>
    <w:p w:rsidR="00E52527" w:rsidRDefault="00E52527" w:rsidP="00E52527">
      <w:pPr>
        <w:numPr>
          <w:ilvl w:val="0"/>
          <w:numId w:val="1"/>
        </w:numPr>
        <w:spacing w:after="0" w:line="240" w:lineRule="auto"/>
      </w:pPr>
      <w:r>
        <w:t>Nacrtati tri krivulje P-delta (dva-voda, vod1, vod2)</w:t>
      </w:r>
    </w:p>
    <w:p w:rsidR="00E52527" w:rsidRDefault="00E52527" w:rsidP="00E52527">
      <w:pPr>
        <w:numPr>
          <w:ilvl w:val="0"/>
          <w:numId w:val="1"/>
        </w:numPr>
        <w:spacing w:after="0" w:line="240" w:lineRule="auto"/>
      </w:pPr>
      <w:r>
        <w:t>Grafičkom analizom jednakih površina dolazimo do graničnog pokusa prenosa snage 4,5 kW.</w:t>
      </w:r>
    </w:p>
    <w:p w:rsidR="00E52527" w:rsidRDefault="00E52527" w:rsidP="00E52527">
      <w:pPr>
        <w:numPr>
          <w:ilvl w:val="0"/>
          <w:numId w:val="1"/>
        </w:numPr>
        <w:spacing w:after="0" w:line="240" w:lineRule="auto"/>
      </w:pPr>
      <w:r>
        <w:t>Prenosimo snagu 4,5 kW preko dva voda, očitamo kut opterećenja, ISKLOP voda manje reaktancije (5 oma): očitamo maksimalni otklon kuta opterećenja (oko 72</w:t>
      </w:r>
      <w:r>
        <w:rPr>
          <w:vertAlign w:val="superscript"/>
        </w:rPr>
        <w:t>0</w:t>
      </w:r>
      <w:r>
        <w:t>), te novi stacionarni kut. Promatramo i tijek snage.</w:t>
      </w:r>
    </w:p>
    <w:p w:rsidR="00E52527" w:rsidRDefault="00E52527" w:rsidP="00E52527">
      <w:pPr>
        <w:numPr>
          <w:ilvl w:val="0"/>
          <w:numId w:val="1"/>
        </w:numPr>
        <w:spacing w:after="0" w:line="240" w:lineRule="auto"/>
      </w:pPr>
      <w:r>
        <w:lastRenderedPageBreak/>
        <w:t>Na osciloskopu promatramo dinamički tijek snage i kuta opterećenja. Naponi za osciloskop dobiju se iz pretvarača trofazne snage (izlaz 0-10V) i pretvarača faznog kuta (0-10V). Sadašnji pretvarači imaju odziv od 200 ms. Ugrađeni  novi pretvarači snage s Hall-ovom ćelijom odziva 40 ms. (Ovo je zastarilo).</w:t>
      </w:r>
    </w:p>
    <w:p w:rsidR="00E52527" w:rsidRDefault="00E52527" w:rsidP="00E52527">
      <w:pPr>
        <w:ind w:left="360"/>
      </w:pPr>
    </w:p>
    <w:p w:rsidR="00E52527" w:rsidRDefault="00E52527" w:rsidP="00E52527">
      <w:pPr>
        <w:numPr>
          <w:ilvl w:val="0"/>
          <w:numId w:val="1"/>
        </w:numPr>
        <w:spacing w:after="0" w:line="240" w:lineRule="auto"/>
      </w:pPr>
      <w:r>
        <w:t>Pomoću Beckhoff PLC i njegovih mjernih stezaljki mjerimo snagu veoma brzo prikažemo efektivne vrijednosti na 20 ms.Tijek napona, snage, P, Q, kuta opterećenja, prikazujemo pomoću ScopeView.</w:t>
      </w:r>
    </w:p>
    <w:p w:rsidR="00E52527" w:rsidRDefault="00E52527" w:rsidP="00E52527"/>
    <w:p w:rsidR="00E52527" w:rsidRDefault="00E52527" w:rsidP="00E52527">
      <w:pPr>
        <w:numPr>
          <w:ilvl w:val="0"/>
          <w:numId w:val="1"/>
        </w:numPr>
        <w:spacing w:after="0" w:line="240" w:lineRule="auto"/>
      </w:pPr>
      <w:r>
        <w:t>Prikaz simulacije iz programa ETAP.</w:t>
      </w:r>
    </w:p>
    <w:p w:rsidR="00E52527" w:rsidRDefault="00E52527" w:rsidP="00E52527"/>
    <w:p w:rsidR="00E52527" w:rsidRDefault="00A070EC" w:rsidP="00E52527">
      <w:pPr>
        <w:ind w:left="360"/>
      </w:pPr>
      <w:r>
        <w:t>Na s</w:t>
      </w:r>
      <w:r w:rsidR="00C70E80">
        <w:t xml:space="preserve">lici je prikazana shema </w:t>
      </w:r>
      <w:r>
        <w:t xml:space="preserve"> sustava:</w:t>
      </w:r>
    </w:p>
    <w:p w:rsidR="00E52527" w:rsidRDefault="00E52527" w:rsidP="00E52527">
      <w:pPr>
        <w:ind w:left="360"/>
      </w:pPr>
    </w:p>
    <w:p w:rsidR="00A070EC" w:rsidRDefault="00A070EC" w:rsidP="00A070EC">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6465" w:dyaOrig="2576">
          <v:shape id="_x0000_i1025" type="#_x0000_t75" style="width:342pt;height:145.5pt" o:ole="">
            <v:imagedata r:id="rId11" o:title=""/>
          </v:shape>
          <o:OLEObject Type="Embed" ProgID="Visio.Drawing.11" ShapeID="_x0000_i1025" DrawAspect="Content" ObjectID="_1386531657" r:id="rId12"/>
        </w:object>
      </w:r>
    </w:p>
    <w:p w:rsidR="00C70E80" w:rsidRPr="00076C64" w:rsidRDefault="00C70E80" w:rsidP="00076C64">
      <w:pPr>
        <w:ind w:left="360"/>
        <w:jc w:val="center"/>
        <w:rPr>
          <w:lang w:val="en-US"/>
        </w:rPr>
      </w:pPr>
      <w:r>
        <w:t>Slika 1 : Shema sustava</w:t>
      </w:r>
    </w:p>
    <w:p w:rsidR="00A070EC" w:rsidRDefault="00A070EC" w:rsidP="00A070EC">
      <w:pPr>
        <w:ind w:left="360"/>
        <w:jc w:val="center"/>
      </w:pPr>
    </w:p>
    <w:p w:rsidR="00A070EC" w:rsidRDefault="00A070EC" w:rsidP="00A070EC">
      <w:r>
        <w:t>Glavne sastavnice su:</w:t>
      </w:r>
    </w:p>
    <w:p w:rsidR="00A070EC" w:rsidRDefault="00A070EC" w:rsidP="00A070EC">
      <w:pPr>
        <w:numPr>
          <w:ilvl w:val="0"/>
          <w:numId w:val="2"/>
        </w:numPr>
        <w:spacing w:after="0" w:line="240" w:lineRule="auto"/>
      </w:pPr>
      <w:r>
        <w:t>Trofazni sinkroni generator 15 kVA, 400 V, 1000 o/min.</w:t>
      </w:r>
    </w:p>
    <w:p w:rsidR="00A070EC" w:rsidRDefault="00A070EC" w:rsidP="00A070EC">
      <w:pPr>
        <w:numPr>
          <w:ilvl w:val="0"/>
          <w:numId w:val="2"/>
        </w:numPr>
        <w:spacing w:after="0" w:line="240" w:lineRule="auto"/>
      </w:pPr>
      <w:r>
        <w:t>Pogonski stroj: istosmjerni motor 14 kW</w:t>
      </w:r>
    </w:p>
    <w:p w:rsidR="00A070EC" w:rsidRDefault="00A070EC" w:rsidP="00A070EC">
      <w:pPr>
        <w:numPr>
          <w:ilvl w:val="0"/>
          <w:numId w:val="2"/>
        </w:numPr>
        <w:spacing w:after="0" w:line="240" w:lineRule="auto"/>
      </w:pPr>
      <w:r>
        <w:t>Uzbudnik istosmjerni generator , DC1 tipa</w:t>
      </w:r>
    </w:p>
    <w:p w:rsidR="00A070EC" w:rsidRDefault="00A070EC" w:rsidP="00A070EC">
      <w:pPr>
        <w:numPr>
          <w:ilvl w:val="0"/>
          <w:numId w:val="2"/>
        </w:numPr>
        <w:spacing w:after="0" w:line="240" w:lineRule="auto"/>
      </w:pPr>
      <w:r>
        <w:t>Uzbudnik tiristirski ST1  tipa</w:t>
      </w:r>
    </w:p>
    <w:p w:rsidR="00E52527" w:rsidRDefault="00E52527" w:rsidP="00A070EC"/>
    <w:p w:rsidR="00A070EC" w:rsidRDefault="00A070EC" w:rsidP="00A070EC">
      <w:pPr>
        <w:ind w:left="360"/>
      </w:pPr>
      <w:r>
        <w:t>Parametri generatora EIM su:</w:t>
      </w:r>
    </w:p>
    <w:p w:rsidR="00A070EC" w:rsidRDefault="00A070EC" w:rsidP="00A070EC">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5"/>
        <w:gridCol w:w="805"/>
        <w:gridCol w:w="805"/>
        <w:gridCol w:w="805"/>
        <w:gridCol w:w="805"/>
        <w:gridCol w:w="805"/>
        <w:gridCol w:w="805"/>
        <w:gridCol w:w="805"/>
        <w:gridCol w:w="805"/>
        <w:gridCol w:w="805"/>
        <w:gridCol w:w="806"/>
      </w:tblGrid>
      <w:tr w:rsidR="00A070EC" w:rsidTr="00A070E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2"/>
                <w:sz w:val="24"/>
                <w:szCs w:val="24"/>
              </w:rPr>
              <w:object w:dxaOrig="300" w:dyaOrig="360">
                <v:shape id="_x0000_i1026" type="#_x0000_t75" style="width:15pt;height:18pt" o:ole="">
                  <v:imagedata r:id="rId13" o:title=""/>
                </v:shape>
                <o:OLEObject Type="Embed" ProgID="Equation.3" ShapeID="_x0000_i1026" DrawAspect="Content" ObjectID="_1386531658" r:id="rId14"/>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4"/>
                <w:sz w:val="24"/>
                <w:szCs w:val="24"/>
              </w:rPr>
              <w:object w:dxaOrig="280" w:dyaOrig="380">
                <v:shape id="_x0000_i1027" type="#_x0000_t75" style="width:14.25pt;height:18.75pt" o:ole="">
                  <v:imagedata r:id="rId15" o:title=""/>
                </v:shape>
                <o:OLEObject Type="Embed" ProgID="Equation.3" ShapeID="_x0000_i1027" DrawAspect="Content" ObjectID="_1386531659" r:id="rId16"/>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2"/>
                <w:sz w:val="24"/>
                <w:szCs w:val="24"/>
              </w:rPr>
              <w:object w:dxaOrig="240" w:dyaOrig="360">
                <v:shape id="_x0000_i1028" type="#_x0000_t75" style="width:12pt;height:18pt" o:ole="">
                  <v:imagedata r:id="rId17" o:title=""/>
                </v:shape>
                <o:OLEObject Type="Embed" ProgID="Equation.3" ShapeID="_x0000_i1028" DrawAspect="Content" ObjectID="_1386531660" r:id="rId18"/>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2"/>
                <w:sz w:val="24"/>
                <w:szCs w:val="24"/>
              </w:rPr>
              <w:object w:dxaOrig="240" w:dyaOrig="360">
                <v:shape id="_x0000_i1029" type="#_x0000_t75" style="width:12pt;height:18pt" o:ole="">
                  <v:imagedata r:id="rId19" o:title=""/>
                </v:shape>
                <o:OLEObject Type="Embed" ProgID="Equation.3" ShapeID="_x0000_i1029" DrawAspect="Content" ObjectID="_1386531661" r:id="rId20"/>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2"/>
                <w:sz w:val="24"/>
                <w:szCs w:val="24"/>
              </w:rPr>
              <w:object w:dxaOrig="300" w:dyaOrig="380">
                <v:shape id="_x0000_i1030" type="#_x0000_t75" style="width:15pt;height:18.75pt" o:ole="">
                  <v:imagedata r:id="rId21" o:title=""/>
                </v:shape>
                <o:OLEObject Type="Embed" ProgID="Equation.3" ShapeID="_x0000_i1030" DrawAspect="Content" ObjectID="_1386531662" r:id="rId22"/>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2"/>
                <w:sz w:val="24"/>
                <w:szCs w:val="24"/>
              </w:rPr>
              <w:object w:dxaOrig="300" w:dyaOrig="380">
                <v:shape id="_x0000_i1031" type="#_x0000_t75" style="width:15pt;height:18.75pt" o:ole="">
                  <v:imagedata r:id="rId23" o:title=""/>
                </v:shape>
                <o:OLEObject Type="Embed" ProgID="Equation.3" ShapeID="_x0000_i1031" DrawAspect="Content" ObjectID="_1386531663" r:id="rId24"/>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4"/>
                <w:sz w:val="24"/>
                <w:szCs w:val="24"/>
              </w:rPr>
              <w:object w:dxaOrig="280" w:dyaOrig="399">
                <v:shape id="_x0000_i1032" type="#_x0000_t75" style="width:14.25pt;height:20.25pt" o:ole="">
                  <v:imagedata r:id="rId25" o:title=""/>
                </v:shape>
                <o:OLEObject Type="Embed" ProgID="Equation.3" ShapeID="_x0000_i1032" DrawAspect="Content" ObjectID="_1386531664" r:id="rId26"/>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2"/>
                <w:sz w:val="24"/>
                <w:szCs w:val="24"/>
              </w:rPr>
              <w:object w:dxaOrig="280" w:dyaOrig="380">
                <v:shape id="_x0000_i1033" type="#_x0000_t75" style="width:14.25pt;height:18.75pt" o:ole="">
                  <v:imagedata r:id="rId27" o:title=""/>
                </v:shape>
                <o:OLEObject Type="Embed" ProgID="Equation.3" ShapeID="_x0000_i1033" DrawAspect="Content" ObjectID="_1386531665" r:id="rId28"/>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2"/>
                <w:sz w:val="24"/>
                <w:szCs w:val="24"/>
              </w:rPr>
              <w:object w:dxaOrig="280" w:dyaOrig="380">
                <v:shape id="_x0000_i1034" type="#_x0000_t75" style="width:14.25pt;height:18.75pt" o:ole="">
                  <v:imagedata r:id="rId29" o:title=""/>
                </v:shape>
                <o:OLEObject Type="Embed" ProgID="Equation.3" ShapeID="_x0000_i1034" DrawAspect="Content" ObjectID="_1386531666" r:id="rId30"/>
              </w:objec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14"/>
                <w:sz w:val="24"/>
                <w:szCs w:val="24"/>
              </w:rPr>
              <w:object w:dxaOrig="280" w:dyaOrig="399">
                <v:shape id="_x0000_i1035" type="#_x0000_t75" style="width:14.25pt;height:20.25pt" o:ole="">
                  <v:imagedata r:id="rId31" o:title=""/>
                </v:shape>
                <o:OLEObject Type="Embed" ProgID="Equation.3" ShapeID="_x0000_i1035" DrawAspect="Content" ObjectID="_1386531667" r:id="rId32"/>
              </w:object>
            </w:r>
          </w:p>
        </w:tc>
        <w:tc>
          <w:tcPr>
            <w:tcW w:w="806"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rPr>
                <w:rFonts w:ascii="Times New Roman" w:eastAsia="Times New Roman" w:hAnsi="Times New Roman" w:cs="Times New Roman"/>
                <w:position w:val="-4"/>
                <w:sz w:val="24"/>
                <w:szCs w:val="24"/>
              </w:rPr>
              <w:object w:dxaOrig="280" w:dyaOrig="260">
                <v:shape id="_x0000_i1036" type="#_x0000_t75" style="width:14.25pt;height:12.75pt" o:ole="">
                  <v:imagedata r:id="rId33" o:title=""/>
                </v:shape>
                <o:OLEObject Type="Embed" ProgID="Equation.3" ShapeID="_x0000_i1036" DrawAspect="Content" ObjectID="_1386531668" r:id="rId34"/>
              </w:object>
            </w:r>
          </w:p>
        </w:tc>
      </w:tr>
      <w:tr w:rsidR="00A070EC" w:rsidTr="00A070E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0.48</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0.4</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0.04</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0.05</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0.15</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0.12</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0.12</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0.15</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0.02</w:t>
            </w:r>
          </w:p>
        </w:tc>
        <w:tc>
          <w:tcPr>
            <w:tcW w:w="805"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0.02</w:t>
            </w:r>
          </w:p>
        </w:tc>
        <w:tc>
          <w:tcPr>
            <w:tcW w:w="806" w:type="dxa"/>
            <w:tcBorders>
              <w:top w:val="single" w:sz="4" w:space="0" w:color="auto"/>
              <w:left w:val="single" w:sz="4" w:space="0" w:color="auto"/>
              <w:bottom w:val="single" w:sz="4" w:space="0" w:color="auto"/>
              <w:right w:val="single" w:sz="4" w:space="0" w:color="auto"/>
            </w:tcBorders>
            <w:hideMark/>
          </w:tcPr>
          <w:p w:rsidR="00A070EC" w:rsidRDefault="00A070EC">
            <w:pPr>
              <w:rPr>
                <w:sz w:val="24"/>
                <w:szCs w:val="24"/>
              </w:rPr>
            </w:pPr>
            <w:r>
              <w:t>0.84</w:t>
            </w:r>
          </w:p>
        </w:tc>
      </w:tr>
    </w:tbl>
    <w:p w:rsidR="00E52527" w:rsidRDefault="00E52527" w:rsidP="00C70E80"/>
    <w:p w:rsidR="00076C64" w:rsidRDefault="00076C64" w:rsidP="00C70E80">
      <w:pPr>
        <w:ind w:left="360"/>
      </w:pPr>
    </w:p>
    <w:p w:rsidR="00C70E80" w:rsidRDefault="00C70E80" w:rsidP="00C70E80">
      <w:pPr>
        <w:ind w:left="360"/>
      </w:pPr>
      <w:r>
        <w:lastRenderedPageBreak/>
        <w:t>Rezultati kratkog spoja dani su na sljedećim slikama:</w:t>
      </w:r>
    </w:p>
    <w:p w:rsidR="00C70E80" w:rsidRDefault="00C70E80" w:rsidP="00C70E80">
      <w:pPr>
        <w:ind w:left="360"/>
      </w:pPr>
    </w:p>
    <w:p w:rsidR="00C70E80" w:rsidRDefault="00C70E80" w:rsidP="00C70E80">
      <w:pPr>
        <w:ind w:left="360"/>
      </w:pPr>
      <w:r>
        <w:rPr>
          <w:noProof/>
          <w:lang w:eastAsia="hr-HR"/>
        </w:rPr>
        <w:drawing>
          <wp:inline distT="0" distB="0" distL="0" distR="0">
            <wp:extent cx="5715000" cy="2905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srcRect/>
                    <a:stretch>
                      <a:fillRect/>
                    </a:stretch>
                  </pic:blipFill>
                  <pic:spPr bwMode="auto">
                    <a:xfrm>
                      <a:off x="0" y="0"/>
                      <a:ext cx="5715000" cy="2905125"/>
                    </a:xfrm>
                    <a:prstGeom prst="rect">
                      <a:avLst/>
                    </a:prstGeom>
                    <a:noFill/>
                    <a:ln w="9525">
                      <a:noFill/>
                      <a:miter lim="800000"/>
                      <a:headEnd/>
                      <a:tailEnd/>
                    </a:ln>
                  </pic:spPr>
                </pic:pic>
              </a:graphicData>
            </a:graphic>
          </wp:inline>
        </w:drawing>
      </w:r>
    </w:p>
    <w:p w:rsidR="00C70E80" w:rsidRDefault="00C70E80" w:rsidP="00C70E80">
      <w:pPr>
        <w:ind w:left="360"/>
        <w:jc w:val="center"/>
      </w:pPr>
      <w:r>
        <w:t>Slika 2 : Pokus kratkog spoja na vodu u trajanju od 95 ms, isklop voda, te ponovni uklop. Automatska regulacija napona. Redom su: Napon, P, Q, delta.</w:t>
      </w:r>
    </w:p>
    <w:p w:rsidR="00C70E80" w:rsidRDefault="00C70E80" w:rsidP="00C70E80">
      <w:pPr>
        <w:ind w:left="360"/>
        <w:jc w:val="center"/>
      </w:pPr>
    </w:p>
    <w:p w:rsidR="00C70E80" w:rsidRDefault="00C70E80" w:rsidP="00C70E80">
      <w:pPr>
        <w:ind w:left="360"/>
      </w:pPr>
      <w:r>
        <w:rPr>
          <w:noProof/>
          <w:lang w:eastAsia="hr-HR"/>
        </w:rPr>
        <w:drawing>
          <wp:inline distT="0" distB="0" distL="0" distR="0">
            <wp:extent cx="5753100" cy="32004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cstate="print"/>
                    <a:srcRect/>
                    <a:stretch>
                      <a:fillRect/>
                    </a:stretch>
                  </pic:blipFill>
                  <pic:spPr bwMode="auto">
                    <a:xfrm>
                      <a:off x="0" y="0"/>
                      <a:ext cx="5753100" cy="3200400"/>
                    </a:xfrm>
                    <a:prstGeom prst="rect">
                      <a:avLst/>
                    </a:prstGeom>
                    <a:noFill/>
                    <a:ln w="9525">
                      <a:noFill/>
                      <a:miter lim="800000"/>
                      <a:headEnd/>
                      <a:tailEnd/>
                    </a:ln>
                  </pic:spPr>
                </pic:pic>
              </a:graphicData>
            </a:graphic>
          </wp:inline>
        </w:drawing>
      </w:r>
    </w:p>
    <w:p w:rsidR="00C70E80" w:rsidRDefault="00C70E80" w:rsidP="00C70E80">
      <w:pPr>
        <w:ind w:left="360"/>
        <w:jc w:val="center"/>
      </w:pPr>
      <w:r>
        <w:t>Slika 3 : Pokus kratkog spoja na vodu u trajanju od 95 ms, isklop voda, te ponovni uklop. Ručna regulacija napona. Redom su: Napon, P, Q, delta.</w:t>
      </w:r>
    </w:p>
    <w:p w:rsidR="00C70E80" w:rsidRDefault="00C70E80" w:rsidP="00C70E80">
      <w:pPr>
        <w:ind w:left="360"/>
        <w:jc w:val="center"/>
        <w:rPr>
          <w:lang w:val="en-US"/>
        </w:rPr>
      </w:pPr>
    </w:p>
    <w:p w:rsidR="00C70E80" w:rsidRDefault="00C70E80" w:rsidP="00C70E80">
      <w:r>
        <w:lastRenderedPageBreak/>
        <w:t>Stabilnost se može povećati sljedećim zahvatima:</w:t>
      </w:r>
    </w:p>
    <w:p w:rsidR="00C70E80" w:rsidRDefault="00C70E80" w:rsidP="00C70E80">
      <w:pPr>
        <w:numPr>
          <w:ilvl w:val="0"/>
          <w:numId w:val="1"/>
        </w:numPr>
        <w:spacing w:after="0" w:line="240" w:lineRule="auto"/>
      </w:pPr>
      <w:r>
        <w:t>smanjenje reaktancije voda</w:t>
      </w:r>
    </w:p>
    <w:p w:rsidR="00C70E80" w:rsidRDefault="00C70E80" w:rsidP="00C70E80">
      <w:pPr>
        <w:numPr>
          <w:ilvl w:val="0"/>
          <w:numId w:val="1"/>
        </w:numPr>
        <w:spacing w:after="0" w:line="240" w:lineRule="auto"/>
      </w:pPr>
      <w:r>
        <w:t xml:space="preserve">smanjenje prijelazne reaktancije generatora </w:t>
      </w:r>
    </w:p>
    <w:p w:rsidR="00C70E80" w:rsidRDefault="00C70E80" w:rsidP="00C70E80">
      <w:pPr>
        <w:numPr>
          <w:ilvl w:val="0"/>
          <w:numId w:val="1"/>
        </w:numPr>
        <w:spacing w:after="0" w:line="240" w:lineRule="auto"/>
      </w:pPr>
      <w:r>
        <w:t>automatsko ponovo uklapanje jednog voda</w:t>
      </w:r>
    </w:p>
    <w:p w:rsidR="00C70E80" w:rsidRDefault="00C70E80" w:rsidP="00C70E80">
      <w:pPr>
        <w:numPr>
          <w:ilvl w:val="0"/>
          <w:numId w:val="1"/>
        </w:numPr>
        <w:spacing w:after="0" w:line="240" w:lineRule="auto"/>
      </w:pPr>
      <w:r>
        <w:t>povećanje momenta inercije to je konstante tromost H</w:t>
      </w:r>
    </w:p>
    <w:p w:rsidR="00C70E80" w:rsidRDefault="00C70E80" w:rsidP="00C70E80">
      <w:pPr>
        <w:numPr>
          <w:ilvl w:val="0"/>
          <w:numId w:val="1"/>
        </w:numPr>
        <w:spacing w:after="0" w:line="240" w:lineRule="auto"/>
      </w:pPr>
      <w:r>
        <w:t>forsiranje uzbude</w:t>
      </w:r>
    </w:p>
    <w:p w:rsidR="00C70E80" w:rsidRDefault="00C70E80" w:rsidP="00C70E80">
      <w:pPr>
        <w:numPr>
          <w:ilvl w:val="0"/>
          <w:numId w:val="1"/>
        </w:numPr>
        <w:spacing w:after="0" w:line="240" w:lineRule="auto"/>
      </w:pPr>
      <w:r>
        <w:t>uvođenje stabilizatora elektroenegetskog sustava</w:t>
      </w:r>
    </w:p>
    <w:p w:rsidR="00C70E80" w:rsidRDefault="00C70E80" w:rsidP="00C70E80">
      <w:pPr>
        <w:numPr>
          <w:ilvl w:val="0"/>
          <w:numId w:val="1"/>
        </w:numPr>
        <w:spacing w:after="0" w:line="240" w:lineRule="auto"/>
      </w:pPr>
      <w:r>
        <w:t>smanjenje pojačanje regulacijskih krugova uzbude</w:t>
      </w:r>
    </w:p>
    <w:p w:rsidR="00C70E80" w:rsidRDefault="00C70E80" w:rsidP="00C70E80"/>
    <w:p w:rsidR="00C70E80" w:rsidRDefault="00C70E80" w:rsidP="00C70E80">
      <w:r>
        <w:t>Neki zahtjevi su suprostavljeni u prijelaznoj stabilnosti i stabilnosti na mali poremećaj.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C70E80" w:rsidTr="00C70E80">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Prijelazna stabilnost:</w:t>
            </w:r>
          </w:p>
        </w:tc>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Stabilnost na mali poremećaj:</w:t>
            </w:r>
          </w:p>
        </w:tc>
      </w:tr>
      <w:tr w:rsidR="00C70E80" w:rsidTr="00C70E80">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Veliki H poboljšava , niži  maksimalni kut</w:t>
            </w:r>
          </w:p>
          <w:p w:rsidR="00C70E80" w:rsidRDefault="00C70E80">
            <w:pPr>
              <w:rPr>
                <w:sz w:val="24"/>
                <w:szCs w:val="24"/>
                <w:lang w:val="en-US"/>
              </w:rPr>
            </w:pPr>
            <w:r>
              <w:t>Veće kritično vrijeme Tkr</w:t>
            </w:r>
          </w:p>
        </w:tc>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Veliki H pogoršava. Mali H daje veću oscilacijsku frekvenciju.</w:t>
            </w:r>
          </w:p>
        </w:tc>
      </w:tr>
      <w:tr w:rsidR="00C70E80" w:rsidTr="00C70E80">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Velika vremenska konstanta Tdo’ smanjuje prijelaznu stabilnost</w:t>
            </w:r>
          </w:p>
        </w:tc>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Velika vremenska konstanta Tdo’ povećava mogućnost rada u kapacitivnom području</w:t>
            </w:r>
          </w:p>
        </w:tc>
      </w:tr>
      <w:tr w:rsidR="00C70E80" w:rsidTr="00C70E80">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Dugi vodovi s velikom reaktancijom smanjuju prijelaznu stabilnost</w:t>
            </w:r>
          </w:p>
        </w:tc>
        <w:tc>
          <w:tcPr>
            <w:tcW w:w="442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lang w:val="en-US"/>
              </w:rPr>
            </w:pPr>
            <w:r>
              <w:t>Dugi vodovi - velika reaktancija smanjuje mogućnost rada u kapacitivnom području</w:t>
            </w:r>
          </w:p>
        </w:tc>
      </w:tr>
    </w:tbl>
    <w:p w:rsidR="00C70E80" w:rsidRDefault="00C70E80" w:rsidP="00C70E80"/>
    <w:p w:rsidR="00C70E80" w:rsidRDefault="00C70E80" w:rsidP="00C70E80">
      <w:pPr>
        <w:ind w:left="360"/>
      </w:pPr>
      <w:r>
        <w:rPr>
          <w:noProof/>
          <w:lang w:eastAsia="hr-HR"/>
        </w:rPr>
        <w:drawing>
          <wp:inline distT="0" distB="0" distL="0" distR="0">
            <wp:extent cx="5486400" cy="279082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cstate="print"/>
                    <a:srcRect/>
                    <a:stretch>
                      <a:fillRect/>
                    </a:stretch>
                  </pic:blipFill>
                  <pic:spPr bwMode="auto">
                    <a:xfrm>
                      <a:off x="0" y="0"/>
                      <a:ext cx="5486400" cy="2790825"/>
                    </a:xfrm>
                    <a:prstGeom prst="rect">
                      <a:avLst/>
                    </a:prstGeom>
                    <a:noFill/>
                    <a:ln w="9525">
                      <a:noFill/>
                      <a:miter lim="800000"/>
                      <a:headEnd/>
                      <a:tailEnd/>
                    </a:ln>
                  </pic:spPr>
                </pic:pic>
              </a:graphicData>
            </a:graphic>
          </wp:inline>
        </w:drawing>
      </w:r>
    </w:p>
    <w:p w:rsidR="00C70E80" w:rsidRDefault="00C70E80" w:rsidP="00C70E80">
      <w:pPr>
        <w:jc w:val="center"/>
      </w:pPr>
      <w:r>
        <w:t>Slika 4: Rezultati simulacije u ETAPu.</w:t>
      </w:r>
    </w:p>
    <w:p w:rsidR="00C70E80" w:rsidRDefault="00C70E80" w:rsidP="00C70E80">
      <w:pPr>
        <w:jc w:val="center"/>
      </w:pPr>
    </w:p>
    <w:p w:rsidR="00C70E80" w:rsidRDefault="00C70E80" w:rsidP="00C70E80">
      <w:r>
        <w:br/>
      </w:r>
    </w:p>
    <w:p w:rsidR="00C70E80" w:rsidRDefault="00C70E80" w:rsidP="00C70E80">
      <w:r>
        <w:lastRenderedPageBreak/>
        <w:t xml:space="preserve"> Proveden</w:t>
      </w:r>
      <w:r w:rsidR="00076C64">
        <w:t>i</w:t>
      </w:r>
      <w:r>
        <w:t xml:space="preserve"> su pokusi sa oba voda uključena i sa isključenim jednim vodom.  U tablici su prikazani dobiveni rezultati.</w:t>
      </w:r>
    </w:p>
    <w:tbl>
      <w:tblPr>
        <w:tblW w:w="0" w:type="auto"/>
        <w:jc w:val="center"/>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6"/>
        <w:gridCol w:w="518"/>
        <w:gridCol w:w="518"/>
        <w:gridCol w:w="518"/>
        <w:gridCol w:w="518"/>
        <w:gridCol w:w="518"/>
        <w:gridCol w:w="518"/>
        <w:gridCol w:w="518"/>
        <w:gridCol w:w="518"/>
        <w:gridCol w:w="518"/>
        <w:gridCol w:w="518"/>
        <w:gridCol w:w="551"/>
        <w:gridCol w:w="551"/>
        <w:gridCol w:w="551"/>
        <w:gridCol w:w="551"/>
        <w:gridCol w:w="487"/>
        <w:gridCol w:w="487"/>
      </w:tblGrid>
      <w:tr w:rsidR="00C70E80" w:rsidTr="00C70E80">
        <w:trPr>
          <w:trHeight w:val="325"/>
          <w:jc w:val="center"/>
        </w:trPr>
        <w:tc>
          <w:tcPr>
            <w:tcW w:w="991" w:type="dxa"/>
            <w:tcBorders>
              <w:top w:val="single" w:sz="4" w:space="0" w:color="auto"/>
              <w:left w:val="single" w:sz="4" w:space="0" w:color="auto"/>
              <w:bottom w:val="single" w:sz="4" w:space="0" w:color="auto"/>
              <w:right w:val="single" w:sz="4" w:space="0" w:color="auto"/>
            </w:tcBorders>
            <w:hideMark/>
          </w:tcPr>
          <w:p w:rsidR="00C70E80" w:rsidRDefault="00C70E80" w:rsidP="00C70E80">
            <w:pPr>
              <w:rPr>
                <w:sz w:val="24"/>
                <w:szCs w:val="24"/>
              </w:rPr>
            </w:pPr>
            <m:oMathPara>
              <m:oMath>
                <m:r>
                  <w:rPr>
                    <w:rFonts w:ascii="Cambria Math" w:hAnsi="Cambria Math"/>
                    <w:sz w:val="24"/>
                    <w:szCs w:val="24"/>
                  </w:rPr>
                  <m:t>P[k</m:t>
                </m:r>
                <m:r>
                  <w:rPr>
                    <w:rFonts w:ascii="Cambria Math" w:eastAsiaTheme="minorEastAsia" w:hAnsi="Cambria Math"/>
                    <w:sz w:val="24"/>
                    <w:szCs w:val="24"/>
                  </w:rPr>
                  <m:t>W]</m:t>
                </m:r>
              </m:oMath>
            </m:oMathPara>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2</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3</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4</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5</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6</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7</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8</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9</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10</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11</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12</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13</w:t>
            </w:r>
          </w:p>
        </w:tc>
        <w:tc>
          <w:tcPr>
            <w:tcW w:w="487"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14</w:t>
            </w:r>
          </w:p>
        </w:tc>
        <w:tc>
          <w:tcPr>
            <w:tcW w:w="487"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15</w:t>
            </w:r>
          </w:p>
        </w:tc>
      </w:tr>
      <w:tr w:rsidR="00C70E80" w:rsidTr="00C70E80">
        <w:trPr>
          <w:jc w:val="center"/>
        </w:trPr>
        <w:tc>
          <w:tcPr>
            <w:tcW w:w="991" w:type="dxa"/>
            <w:tcBorders>
              <w:top w:val="single" w:sz="4" w:space="0" w:color="auto"/>
              <w:left w:val="single" w:sz="4" w:space="0" w:color="auto"/>
              <w:bottom w:val="single" w:sz="4" w:space="0" w:color="auto"/>
              <w:right w:val="single" w:sz="4" w:space="0" w:color="auto"/>
            </w:tcBorders>
          </w:tcPr>
          <w:p w:rsidR="00C70E80" w:rsidRDefault="00C70E80" w:rsidP="00C70E80">
            <w:pPr>
              <w:rPr>
                <w:sz w:val="20"/>
                <w:szCs w:val="20"/>
              </w:rPr>
            </w:pPr>
            <w:r>
              <w:rPr>
                <w:sz w:val="20"/>
                <w:szCs w:val="20"/>
              </w:rPr>
              <w:t xml:space="preserve"> </w:t>
            </w:r>
            <m:oMath>
              <m:r>
                <w:rPr>
                  <w:rFonts w:ascii="Cambria Math" w:hAnsi="Cambria Math"/>
                  <w:sz w:val="20"/>
                  <w:szCs w:val="20"/>
                </w:rPr>
                <m:t>δ</m:t>
              </m:r>
              <m:r>
                <w:rPr>
                  <w:rFonts w:ascii="Cambria Math" w:eastAsiaTheme="minorEastAsia" w:hAnsi="Cambria Math"/>
                  <w:sz w:val="20"/>
                  <w:szCs w:val="20"/>
                </w:rPr>
                <m:t>(dva voda)</m:t>
              </m:r>
            </m:oMath>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4</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6</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12</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14</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15</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18</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20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22</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24</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26</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30</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32</w:t>
            </w:r>
          </w:p>
        </w:tc>
        <w:tc>
          <w:tcPr>
            <w:tcW w:w="487"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34</w:t>
            </w:r>
          </w:p>
        </w:tc>
        <w:tc>
          <w:tcPr>
            <w:tcW w:w="487"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37</w:t>
            </w:r>
          </w:p>
        </w:tc>
      </w:tr>
      <w:tr w:rsidR="00C70E80" w:rsidTr="00C70E80">
        <w:trPr>
          <w:jc w:val="center"/>
        </w:trPr>
        <w:tc>
          <w:tcPr>
            <w:tcW w:w="991" w:type="dxa"/>
            <w:tcBorders>
              <w:top w:val="single" w:sz="4" w:space="0" w:color="auto"/>
              <w:left w:val="single" w:sz="4" w:space="0" w:color="auto"/>
              <w:bottom w:val="single" w:sz="4" w:space="0" w:color="auto"/>
              <w:right w:val="single" w:sz="4" w:space="0" w:color="auto"/>
            </w:tcBorders>
          </w:tcPr>
          <w:p w:rsidR="00C70E80" w:rsidRDefault="00C70E80">
            <w:pPr>
              <w:rPr>
                <w:sz w:val="24"/>
                <w:szCs w:val="24"/>
              </w:rPr>
            </w:pPr>
            <m:oMathPara>
              <m:oMath>
                <m:r>
                  <w:rPr>
                    <w:rFonts w:ascii="Cambria Math" w:hAnsi="Cambria Math"/>
                    <w:sz w:val="20"/>
                    <w:szCs w:val="20"/>
                  </w:rPr>
                  <m:t>δ(jedan vod)</m:t>
                </m:r>
              </m:oMath>
            </m:oMathPara>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14</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20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24</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30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38</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42</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50</w:t>
            </w:r>
          </w:p>
        </w:tc>
        <w:tc>
          <w:tcPr>
            <w:tcW w:w="518"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54</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64</w:t>
            </w:r>
          </w:p>
        </w:tc>
        <w:tc>
          <w:tcPr>
            <w:tcW w:w="551" w:type="dxa"/>
            <w:tcBorders>
              <w:top w:val="single" w:sz="4" w:space="0" w:color="auto"/>
              <w:left w:val="single" w:sz="4" w:space="0" w:color="auto"/>
              <w:bottom w:val="single" w:sz="4" w:space="0" w:color="auto"/>
              <w:right w:val="single" w:sz="4" w:space="0" w:color="auto"/>
            </w:tcBorders>
            <w:hideMark/>
          </w:tcPr>
          <w:p w:rsidR="00C70E80" w:rsidRDefault="00C70E80">
            <w:pPr>
              <w:rPr>
                <w:sz w:val="24"/>
                <w:szCs w:val="24"/>
              </w:rPr>
            </w:pPr>
            <w:r>
              <w:t>85</w:t>
            </w:r>
          </w:p>
        </w:tc>
        <w:tc>
          <w:tcPr>
            <w:tcW w:w="551" w:type="dxa"/>
            <w:tcBorders>
              <w:top w:val="single" w:sz="4" w:space="0" w:color="auto"/>
              <w:left w:val="single" w:sz="4" w:space="0" w:color="auto"/>
              <w:bottom w:val="single" w:sz="4" w:space="0" w:color="auto"/>
              <w:right w:val="single" w:sz="4" w:space="0" w:color="auto"/>
            </w:tcBorders>
          </w:tcPr>
          <w:p w:rsidR="00C70E80" w:rsidRDefault="00C70E80">
            <w:pPr>
              <w:rPr>
                <w:sz w:val="24"/>
                <w:szCs w:val="24"/>
              </w:rPr>
            </w:pPr>
          </w:p>
        </w:tc>
        <w:tc>
          <w:tcPr>
            <w:tcW w:w="551" w:type="dxa"/>
            <w:tcBorders>
              <w:top w:val="single" w:sz="4" w:space="0" w:color="auto"/>
              <w:left w:val="single" w:sz="4" w:space="0" w:color="auto"/>
              <w:bottom w:val="single" w:sz="4" w:space="0" w:color="auto"/>
              <w:right w:val="single" w:sz="4" w:space="0" w:color="auto"/>
            </w:tcBorders>
          </w:tcPr>
          <w:p w:rsidR="00C70E80" w:rsidRDefault="00C70E80">
            <w:pPr>
              <w:rPr>
                <w:sz w:val="24"/>
                <w:szCs w:val="24"/>
              </w:rPr>
            </w:pPr>
          </w:p>
        </w:tc>
        <w:tc>
          <w:tcPr>
            <w:tcW w:w="487" w:type="dxa"/>
            <w:tcBorders>
              <w:top w:val="single" w:sz="4" w:space="0" w:color="auto"/>
              <w:left w:val="single" w:sz="4" w:space="0" w:color="auto"/>
              <w:bottom w:val="single" w:sz="4" w:space="0" w:color="auto"/>
              <w:right w:val="single" w:sz="4" w:space="0" w:color="auto"/>
            </w:tcBorders>
          </w:tcPr>
          <w:p w:rsidR="00C70E80" w:rsidRDefault="00C70E80">
            <w:pPr>
              <w:rPr>
                <w:sz w:val="24"/>
                <w:szCs w:val="24"/>
              </w:rPr>
            </w:pPr>
          </w:p>
        </w:tc>
        <w:tc>
          <w:tcPr>
            <w:tcW w:w="487" w:type="dxa"/>
            <w:tcBorders>
              <w:top w:val="single" w:sz="4" w:space="0" w:color="auto"/>
              <w:left w:val="single" w:sz="4" w:space="0" w:color="auto"/>
              <w:bottom w:val="single" w:sz="4" w:space="0" w:color="auto"/>
              <w:right w:val="single" w:sz="4" w:space="0" w:color="auto"/>
            </w:tcBorders>
          </w:tcPr>
          <w:p w:rsidR="00C70E80" w:rsidRDefault="00C70E80">
            <w:pPr>
              <w:rPr>
                <w:sz w:val="24"/>
                <w:szCs w:val="24"/>
              </w:rPr>
            </w:pPr>
          </w:p>
        </w:tc>
      </w:tr>
    </w:tbl>
    <w:p w:rsidR="00C70E80" w:rsidRDefault="00C70E80" w:rsidP="00C70E80"/>
    <w:p w:rsidR="00E52527" w:rsidRDefault="00E52527" w:rsidP="00E52527">
      <w:pPr>
        <w:ind w:left="360"/>
      </w:pPr>
    </w:p>
    <w:p w:rsidR="00E52527" w:rsidRDefault="00E52527" w:rsidP="00E52527">
      <w:pPr>
        <w:ind w:left="360"/>
      </w:pPr>
    </w:p>
    <w:p w:rsidR="00E52527" w:rsidRDefault="00E52527" w:rsidP="00E52527"/>
    <w:sectPr w:rsidR="00E52527" w:rsidSect="00D417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66AE5"/>
    <w:multiLevelType w:val="hybridMultilevel"/>
    <w:tmpl w:val="33C67F1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3183B87"/>
    <w:multiLevelType w:val="hybridMultilevel"/>
    <w:tmpl w:val="CD1674BE"/>
    <w:lvl w:ilvl="0" w:tplc="631CC6B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2527"/>
    <w:rsid w:val="000307FB"/>
    <w:rsid w:val="0006434D"/>
    <w:rsid w:val="00076C64"/>
    <w:rsid w:val="00083C4B"/>
    <w:rsid w:val="000871CC"/>
    <w:rsid w:val="0013631E"/>
    <w:rsid w:val="00141AB3"/>
    <w:rsid w:val="00187022"/>
    <w:rsid w:val="001A6D2F"/>
    <w:rsid w:val="0026774D"/>
    <w:rsid w:val="002919E3"/>
    <w:rsid w:val="00331826"/>
    <w:rsid w:val="00331BC4"/>
    <w:rsid w:val="00347F5C"/>
    <w:rsid w:val="00374C87"/>
    <w:rsid w:val="003D2F75"/>
    <w:rsid w:val="003D6219"/>
    <w:rsid w:val="003F2C8F"/>
    <w:rsid w:val="0046221D"/>
    <w:rsid w:val="00523CFF"/>
    <w:rsid w:val="005B7F88"/>
    <w:rsid w:val="006162BE"/>
    <w:rsid w:val="00625D8A"/>
    <w:rsid w:val="00636848"/>
    <w:rsid w:val="006503B8"/>
    <w:rsid w:val="00673BF0"/>
    <w:rsid w:val="0069083D"/>
    <w:rsid w:val="006F2558"/>
    <w:rsid w:val="00707B41"/>
    <w:rsid w:val="007432E6"/>
    <w:rsid w:val="00755E9C"/>
    <w:rsid w:val="00860A80"/>
    <w:rsid w:val="008677BF"/>
    <w:rsid w:val="008761FD"/>
    <w:rsid w:val="008A3815"/>
    <w:rsid w:val="008A4682"/>
    <w:rsid w:val="008C67C4"/>
    <w:rsid w:val="009055B6"/>
    <w:rsid w:val="00927E26"/>
    <w:rsid w:val="00984F27"/>
    <w:rsid w:val="009D1F26"/>
    <w:rsid w:val="009F5A09"/>
    <w:rsid w:val="00A070EC"/>
    <w:rsid w:val="00AC7920"/>
    <w:rsid w:val="00AE20F5"/>
    <w:rsid w:val="00B61CFC"/>
    <w:rsid w:val="00B73706"/>
    <w:rsid w:val="00B82B70"/>
    <w:rsid w:val="00B97805"/>
    <w:rsid w:val="00BA4EAC"/>
    <w:rsid w:val="00C33BEE"/>
    <w:rsid w:val="00C54ECE"/>
    <w:rsid w:val="00C679E5"/>
    <w:rsid w:val="00C70E80"/>
    <w:rsid w:val="00D15361"/>
    <w:rsid w:val="00D30FFE"/>
    <w:rsid w:val="00D4178D"/>
    <w:rsid w:val="00D505B2"/>
    <w:rsid w:val="00DB794E"/>
    <w:rsid w:val="00DC7975"/>
    <w:rsid w:val="00DF2037"/>
    <w:rsid w:val="00E47B31"/>
    <w:rsid w:val="00E52527"/>
    <w:rsid w:val="00E83F0C"/>
    <w:rsid w:val="00F0289B"/>
    <w:rsid w:val="00F03382"/>
    <w:rsid w:val="00F12624"/>
    <w:rsid w:val="00F82C0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80"/>
    <w:rPr>
      <w:rFonts w:ascii="Tahoma" w:hAnsi="Tahoma" w:cs="Tahoma"/>
      <w:sz w:val="16"/>
      <w:szCs w:val="16"/>
    </w:rPr>
  </w:style>
  <w:style w:type="character" w:styleId="PlaceholderText">
    <w:name w:val="Placeholder Text"/>
    <w:basedOn w:val="DefaultParagraphFont"/>
    <w:uiPriority w:val="99"/>
    <w:semiHidden/>
    <w:rsid w:val="00C70E80"/>
    <w:rPr>
      <w:color w:val="808080"/>
    </w:rPr>
  </w:style>
</w:styles>
</file>

<file path=word/webSettings.xml><?xml version="1.0" encoding="utf-8"?>
<w:webSettings xmlns:r="http://schemas.openxmlformats.org/officeDocument/2006/relationships" xmlns:w="http://schemas.openxmlformats.org/wordprocessingml/2006/main">
  <w:divs>
    <w:div w:id="165293690">
      <w:bodyDiv w:val="1"/>
      <w:marLeft w:val="0"/>
      <w:marRight w:val="0"/>
      <w:marTop w:val="0"/>
      <w:marBottom w:val="0"/>
      <w:divBdr>
        <w:top w:val="none" w:sz="0" w:space="0" w:color="auto"/>
        <w:left w:val="none" w:sz="0" w:space="0" w:color="auto"/>
        <w:bottom w:val="none" w:sz="0" w:space="0" w:color="auto"/>
        <w:right w:val="none" w:sz="0" w:space="0" w:color="auto"/>
      </w:divBdr>
    </w:div>
    <w:div w:id="291908147">
      <w:bodyDiv w:val="1"/>
      <w:marLeft w:val="0"/>
      <w:marRight w:val="0"/>
      <w:marTop w:val="0"/>
      <w:marBottom w:val="0"/>
      <w:divBdr>
        <w:top w:val="none" w:sz="0" w:space="0" w:color="auto"/>
        <w:left w:val="none" w:sz="0" w:space="0" w:color="auto"/>
        <w:bottom w:val="none" w:sz="0" w:space="0" w:color="auto"/>
        <w:right w:val="none" w:sz="0" w:space="0" w:color="auto"/>
      </w:divBdr>
    </w:div>
    <w:div w:id="306085412">
      <w:bodyDiv w:val="1"/>
      <w:marLeft w:val="0"/>
      <w:marRight w:val="0"/>
      <w:marTop w:val="0"/>
      <w:marBottom w:val="0"/>
      <w:divBdr>
        <w:top w:val="none" w:sz="0" w:space="0" w:color="auto"/>
        <w:left w:val="none" w:sz="0" w:space="0" w:color="auto"/>
        <w:bottom w:val="none" w:sz="0" w:space="0" w:color="auto"/>
        <w:right w:val="none" w:sz="0" w:space="0" w:color="auto"/>
      </w:divBdr>
    </w:div>
    <w:div w:id="750009864">
      <w:bodyDiv w:val="1"/>
      <w:marLeft w:val="0"/>
      <w:marRight w:val="0"/>
      <w:marTop w:val="0"/>
      <w:marBottom w:val="0"/>
      <w:divBdr>
        <w:top w:val="none" w:sz="0" w:space="0" w:color="auto"/>
        <w:left w:val="none" w:sz="0" w:space="0" w:color="auto"/>
        <w:bottom w:val="none" w:sz="0" w:space="0" w:color="auto"/>
        <w:right w:val="none" w:sz="0" w:space="0" w:color="auto"/>
      </w:divBdr>
    </w:div>
    <w:div w:id="855727363">
      <w:bodyDiv w:val="1"/>
      <w:marLeft w:val="0"/>
      <w:marRight w:val="0"/>
      <w:marTop w:val="0"/>
      <w:marBottom w:val="0"/>
      <w:divBdr>
        <w:top w:val="none" w:sz="0" w:space="0" w:color="auto"/>
        <w:left w:val="none" w:sz="0" w:space="0" w:color="auto"/>
        <w:bottom w:val="none" w:sz="0" w:space="0" w:color="auto"/>
        <w:right w:val="none" w:sz="0" w:space="0" w:color="auto"/>
      </w:divBdr>
    </w:div>
    <w:div w:id="955789917">
      <w:bodyDiv w:val="1"/>
      <w:marLeft w:val="0"/>
      <w:marRight w:val="0"/>
      <w:marTop w:val="0"/>
      <w:marBottom w:val="0"/>
      <w:divBdr>
        <w:top w:val="none" w:sz="0" w:space="0" w:color="auto"/>
        <w:left w:val="none" w:sz="0" w:space="0" w:color="auto"/>
        <w:bottom w:val="none" w:sz="0" w:space="0" w:color="auto"/>
        <w:right w:val="none" w:sz="0" w:space="0" w:color="auto"/>
      </w:divBdr>
    </w:div>
    <w:div w:id="1350833953">
      <w:bodyDiv w:val="1"/>
      <w:marLeft w:val="0"/>
      <w:marRight w:val="0"/>
      <w:marTop w:val="0"/>
      <w:marBottom w:val="0"/>
      <w:divBdr>
        <w:top w:val="none" w:sz="0" w:space="0" w:color="auto"/>
        <w:left w:val="none" w:sz="0" w:space="0" w:color="auto"/>
        <w:bottom w:val="none" w:sz="0" w:space="0" w:color="auto"/>
        <w:right w:val="none" w:sz="0" w:space="0" w:color="auto"/>
      </w:divBdr>
    </w:div>
    <w:div w:id="1443917751">
      <w:bodyDiv w:val="1"/>
      <w:marLeft w:val="0"/>
      <w:marRight w:val="0"/>
      <w:marTop w:val="0"/>
      <w:marBottom w:val="0"/>
      <w:divBdr>
        <w:top w:val="none" w:sz="0" w:space="0" w:color="auto"/>
        <w:left w:val="none" w:sz="0" w:space="0" w:color="auto"/>
        <w:bottom w:val="none" w:sz="0" w:space="0" w:color="auto"/>
        <w:right w:val="none" w:sz="0" w:space="0" w:color="auto"/>
      </w:divBdr>
    </w:div>
    <w:div w:id="1770196116">
      <w:bodyDiv w:val="1"/>
      <w:marLeft w:val="0"/>
      <w:marRight w:val="0"/>
      <w:marTop w:val="0"/>
      <w:marBottom w:val="0"/>
      <w:divBdr>
        <w:top w:val="none" w:sz="0" w:space="0" w:color="auto"/>
        <w:left w:val="none" w:sz="0" w:space="0" w:color="auto"/>
        <w:bottom w:val="none" w:sz="0" w:space="0" w:color="auto"/>
        <w:right w:val="none" w:sz="0" w:space="0" w:color="auto"/>
      </w:divBdr>
    </w:div>
    <w:div w:id="1833062116">
      <w:bodyDiv w:val="1"/>
      <w:marLeft w:val="0"/>
      <w:marRight w:val="0"/>
      <w:marTop w:val="0"/>
      <w:marBottom w:val="0"/>
      <w:divBdr>
        <w:top w:val="none" w:sz="0" w:space="0" w:color="auto"/>
        <w:left w:val="none" w:sz="0" w:space="0" w:color="auto"/>
        <w:bottom w:val="none" w:sz="0" w:space="0" w:color="auto"/>
        <w:right w:val="none" w:sz="0" w:space="0" w:color="auto"/>
      </w:divBdr>
    </w:div>
    <w:div w:id="2029986653">
      <w:bodyDiv w:val="1"/>
      <w:marLeft w:val="0"/>
      <w:marRight w:val="0"/>
      <w:marTop w:val="0"/>
      <w:marBottom w:val="0"/>
      <w:divBdr>
        <w:top w:val="none" w:sz="0" w:space="0" w:color="auto"/>
        <w:left w:val="none" w:sz="0" w:space="0" w:color="auto"/>
        <w:bottom w:val="none" w:sz="0" w:space="0" w:color="auto"/>
        <w:right w:val="none" w:sz="0" w:space="0" w:color="auto"/>
      </w:divBdr>
    </w:div>
    <w:div w:id="2056346834">
      <w:bodyDiv w:val="1"/>
      <w:marLeft w:val="0"/>
      <w:marRight w:val="0"/>
      <w:marTop w:val="0"/>
      <w:marBottom w:val="0"/>
      <w:divBdr>
        <w:top w:val="none" w:sz="0" w:space="0" w:color="auto"/>
        <w:left w:val="none" w:sz="0" w:space="0" w:color="auto"/>
        <w:bottom w:val="none" w:sz="0" w:space="0" w:color="auto"/>
        <w:right w:val="none" w:sz="0" w:space="0" w:color="auto"/>
      </w:divBdr>
    </w:div>
    <w:div w:id="21167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cp:revision>
  <dcterms:created xsi:type="dcterms:W3CDTF">2011-12-27T21:13:00Z</dcterms:created>
  <dcterms:modified xsi:type="dcterms:W3CDTF">2011-12-27T21:54:00Z</dcterms:modified>
</cp:coreProperties>
</file>