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450F" w:rsidRDefault="00D8450F" w:rsidP="00D8450F">
      <w:pPr>
        <w:pStyle w:val="Heading1"/>
        <w:jc w:val="center"/>
      </w:pPr>
      <w:r>
        <w:t>DINAMIKA I REGULACIJA ELEKTROENERGETSKOG SUSTAVA</w:t>
      </w:r>
    </w:p>
    <w:p w:rsidR="00D8450F" w:rsidRDefault="00D8450F" w:rsidP="00D8450F">
      <w:pPr>
        <w:pStyle w:val="Heading2"/>
        <w:jc w:val="center"/>
      </w:pPr>
      <w:r>
        <w:t>Pitanja za MI</w:t>
      </w:r>
    </w:p>
    <w:p w:rsidR="00D8450F" w:rsidRPr="00D8450F" w:rsidRDefault="00D8450F" w:rsidP="00D8450F"/>
    <w:p w:rsidR="00DB23F0" w:rsidRDefault="00DB23F0" w:rsidP="00420B3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Zašto frekvencija mora biti konstantna?</w:t>
      </w:r>
    </w:p>
    <w:p w:rsidR="00D8450F" w:rsidRPr="00D8450F" w:rsidRDefault="00D8450F" w:rsidP="00420B3F">
      <w:pPr>
        <w:pStyle w:val="ListParagraph"/>
        <w:spacing w:before="240" w:after="0"/>
      </w:pPr>
      <w:r w:rsidRPr="00D8450F">
        <w:t>Frekvencija mora biti konstantna zbog:</w:t>
      </w:r>
    </w:p>
    <w:p w:rsidR="00D8450F" w:rsidRPr="00D8450F" w:rsidRDefault="00D8450F" w:rsidP="00420B3F">
      <w:pPr>
        <w:pStyle w:val="ListParagraph"/>
        <w:numPr>
          <w:ilvl w:val="0"/>
          <w:numId w:val="2"/>
        </w:numPr>
        <w:spacing w:before="240"/>
      </w:pPr>
      <w:r w:rsidRPr="00D8450F">
        <w:t>mogućnosti točno određene raspodjele opterećenja na agregate, tj. planiranja voznih redova</w:t>
      </w:r>
    </w:p>
    <w:p w:rsidR="00D8450F" w:rsidRDefault="00D8450F" w:rsidP="00420B3F">
      <w:pPr>
        <w:pStyle w:val="ListParagraph"/>
        <w:numPr>
          <w:ilvl w:val="0"/>
          <w:numId w:val="2"/>
        </w:numPr>
        <w:spacing w:before="240"/>
      </w:pPr>
      <w:r w:rsidRPr="00D8450F">
        <w:t>zbog potrošača koji su dimenzionirani za određenu frekvenciju</w:t>
      </w:r>
    </w:p>
    <w:p w:rsidR="00D8450F" w:rsidRPr="00D8450F" w:rsidRDefault="00FC565A" w:rsidP="00420B3F">
      <w:pPr>
        <w:spacing w:before="240"/>
        <w:ind w:left="720"/>
      </w:pPr>
      <w:r>
        <w:t>Dopuštena su mala odstupanja jer u stvarnosti nije moguće frekvenciju održavati konstantnom.</w:t>
      </w:r>
    </w:p>
    <w:p w:rsidR="00DB23F0" w:rsidRPr="0085325D" w:rsidRDefault="00DB23F0" w:rsidP="00420B3F">
      <w:pPr>
        <w:pStyle w:val="ListParagraph"/>
        <w:numPr>
          <w:ilvl w:val="0"/>
          <w:numId w:val="1"/>
        </w:numPr>
        <w:spacing w:before="240"/>
        <w:rPr>
          <w:b/>
        </w:rPr>
      </w:pPr>
      <w:r w:rsidRPr="00D8450F">
        <w:rPr>
          <w:b/>
        </w:rPr>
        <w:t>I</w:t>
      </w:r>
      <w:r w:rsidRPr="00D8450F">
        <w:rPr>
          <w:b/>
          <w:bCs/>
        </w:rPr>
        <w:t>zrazi za statičnost i regulacijsku energiju u stvarnim veličinama i u per unit</w:t>
      </w:r>
    </w:p>
    <w:p w:rsidR="0085325D" w:rsidRPr="0085325D" w:rsidRDefault="0085325D" w:rsidP="0085325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13335</wp:posOffset>
            </wp:positionV>
            <wp:extent cx="1602105" cy="560705"/>
            <wp:effectExtent l="19050" t="0" r="0" b="0"/>
            <wp:wrapSquare wrapText="bothSides"/>
            <wp:docPr id="3" name="Picture 3" descr="Macintosh HD:Users:ivanrendulic:Desktop:Screen Shot 2011-11-21 at 4.38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vanrendulic:Desktop:Screen Shot 2011-11-21 at 4.38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 w:rsidRPr="0085325D">
        <w:t>Regulacijska</w:t>
      </w:r>
      <w:r>
        <w:t xml:space="preserve"> </w:t>
      </w:r>
      <w:r w:rsidRPr="0085325D">
        <w:t>energij</w:t>
      </w:r>
      <w:r>
        <w:t xml:space="preserve">a </w:t>
      </w:r>
      <w:r w:rsidRPr="0085325D">
        <w:t>proizvodnje</w:t>
      </w:r>
    </w:p>
    <w:p w:rsidR="0085325D" w:rsidRPr="0085325D" w:rsidRDefault="0085325D" w:rsidP="0085325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542290</wp:posOffset>
            </wp:positionH>
            <wp:positionV relativeFrom="paragraph">
              <wp:posOffset>168910</wp:posOffset>
            </wp:positionV>
            <wp:extent cx="1257300" cy="499745"/>
            <wp:effectExtent l="19050" t="0" r="0" b="0"/>
            <wp:wrapSquare wrapText="bothSides"/>
            <wp:docPr id="4" name="Picture 4" descr="Macintosh HD:Users:ivanrendulic:Desktop:Screen Shot 2011-11-21 at 4.3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vanrendulic:Desktop:Screen Shot 2011-11-21 at 4.38.3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325D" w:rsidRPr="0085325D" w:rsidRDefault="0085325D" w:rsidP="0085325D">
      <w:pPr>
        <w:ind w:left="708"/>
      </w:pPr>
      <w:r>
        <w:t xml:space="preserve"> Statič</w:t>
      </w:r>
      <w:r w:rsidRPr="0085325D">
        <w:t>nost</w:t>
      </w:r>
      <w:r>
        <w:br/>
      </w:r>
    </w:p>
    <w:p w:rsidR="00DB23F0" w:rsidRPr="00420B3F" w:rsidRDefault="00DB23F0" w:rsidP="00420B3F">
      <w:pPr>
        <w:pStyle w:val="ListParagraph"/>
        <w:numPr>
          <w:ilvl w:val="0"/>
          <w:numId w:val="1"/>
        </w:numPr>
        <w:spacing w:after="0"/>
        <w:rPr>
          <w:b/>
        </w:rPr>
      </w:pPr>
      <w:r w:rsidRPr="00D8450F">
        <w:rPr>
          <w:b/>
          <w:bCs/>
        </w:rPr>
        <w:t>Kolika je statičnost agregata, a kolika cijelog sustava?</w:t>
      </w:r>
    </w:p>
    <w:p w:rsidR="0085325D" w:rsidRPr="00420B3F" w:rsidRDefault="00420B3F" w:rsidP="00420B3F">
      <w:pPr>
        <w:ind w:left="708"/>
        <w:rPr>
          <w:rFonts w:ascii="Verdana Bold Italic" w:hAnsi="Verdana Bold Italic" w:cs="Verdana Bold Italic"/>
        </w:rPr>
      </w:pPr>
      <w:r>
        <w:t>Statičnost kod agregata sa starijim regulatorima je oko 5%,  a kod onih s novijim regulatorima oko 1%. Mjerenjima je utvrđeno da statičnost sustava (svi agregati zajedno) iznosi oko 15%.</w:t>
      </w:r>
    </w:p>
    <w:p w:rsidR="006C0410" w:rsidRDefault="00DB23F0" w:rsidP="00420B3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Statička karakteristika turbinskog regulatora</w:t>
      </w:r>
      <w:r w:rsidR="00420B3F">
        <w:rPr>
          <w:b/>
        </w:rPr>
        <w:br/>
      </w:r>
      <w:r w:rsidR="006C0410" w:rsidRPr="006C0410">
        <w:rPr>
          <w:b/>
        </w:rPr>
        <w:drawing>
          <wp:inline distT="0" distB="0" distL="0" distR="0">
            <wp:extent cx="5089856" cy="2838298"/>
            <wp:effectExtent l="19050" t="0" r="0" b="0"/>
            <wp:docPr id="5" name="Picture 5" descr="Macintosh HD:Users:ivanrendulic:Desktop:Screen Shot 2011-11-21 at 4.4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vanrendulic:Desktop:Screen Shot 2011-11-21 at 4.40.0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1272" r="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6" cy="28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F0" w:rsidRPr="006C0410" w:rsidRDefault="006C0410" w:rsidP="006C0410">
      <w:pPr>
        <w:rPr>
          <w:b/>
        </w:rPr>
      </w:pPr>
      <w:r>
        <w:rPr>
          <w:b/>
        </w:rPr>
        <w:br w:type="page"/>
      </w:r>
    </w:p>
    <w:p w:rsidR="00DB23F0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lastRenderedPageBreak/>
        <w:t>Samoregulacija turbine</w:t>
      </w:r>
      <w:r w:rsidR="006C0410">
        <w:rPr>
          <w:b/>
        </w:rPr>
        <w:br/>
      </w:r>
      <w:r w:rsidR="006C0410" w:rsidRPr="006C0410">
        <w:rPr>
          <w:b/>
        </w:rPr>
        <w:drawing>
          <wp:inline distT="0" distB="0" distL="0" distR="0">
            <wp:extent cx="4977232" cy="2796053"/>
            <wp:effectExtent l="19050" t="0" r="0" b="0"/>
            <wp:docPr id="6" name="Picture 6" descr="Macintosh HD:Users:ivanrendulic:Desktop:Screen Shot 2011-11-21 at 4.4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vanrendulic:Desktop:Screen Shot 2011-11-21 at 4.40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11644" r="5498" b="1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32" cy="27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B02" w:rsidRPr="00D8450F" w:rsidRDefault="00E74B02" w:rsidP="00E74B0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751151" cy="191626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685" t="40659" r="24565" b="15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151" cy="191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02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Sumarne karakteristike</w:t>
      </w:r>
    </w:p>
    <w:p w:rsidR="00DB23F0" w:rsidRDefault="00E74B02" w:rsidP="00E74B02">
      <w:pPr>
        <w:pStyle w:val="ListParagraph"/>
      </w:pPr>
      <w:r w:rsidRPr="00E74B02">
        <w:t>Sumarna karakteristika</w:t>
      </w:r>
      <w:r>
        <w:t xml:space="preserve"> dvaju</w:t>
      </w:r>
      <w:r w:rsidRPr="00E74B02">
        <w:t xml:space="preserve"> jednakih agregata (agregati 1 i 2)</w:t>
      </w:r>
      <w:r w:rsidR="006C0410" w:rsidRPr="00E74B02">
        <w:br/>
      </w:r>
      <w:r>
        <w:rPr>
          <w:b/>
          <w:noProof/>
        </w:rPr>
        <w:drawing>
          <wp:inline distT="0" distB="0" distL="0" distR="0">
            <wp:extent cx="4572000" cy="22502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954" t="34846" r="8678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02" w:rsidRDefault="00E74B02">
      <w:r>
        <w:br w:type="page"/>
      </w:r>
    </w:p>
    <w:p w:rsidR="00E74B02" w:rsidRDefault="00E74B02" w:rsidP="00E74B02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52427" cy="2297927"/>
            <wp:effectExtent l="19050" t="0" r="527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505" t="33938" r="10212" b="13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27" cy="229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02" w:rsidRDefault="00E74B02" w:rsidP="00E74B02">
      <w:pPr>
        <w:pStyle w:val="ListParagraph"/>
        <w:rPr>
          <w:b/>
        </w:rPr>
      </w:pPr>
    </w:p>
    <w:p w:rsidR="00E74B02" w:rsidRPr="00D8450F" w:rsidRDefault="00E74B02" w:rsidP="00E74B0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659464" cy="2266122"/>
            <wp:effectExtent l="19050" t="0" r="778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400" t="33938" r="7728" b="14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64" cy="22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0F" w:rsidRDefault="00D8450F" w:rsidP="00D8450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Neosjetljivost regulatora</w:t>
      </w:r>
      <w:r w:rsidR="00064DEA">
        <w:rPr>
          <w:b/>
        </w:rPr>
        <w:br/>
      </w:r>
      <w:r w:rsidR="00064DEA">
        <w:rPr>
          <w:b/>
          <w:noProof/>
        </w:rPr>
        <w:drawing>
          <wp:inline distT="0" distB="0" distL="0" distR="0">
            <wp:extent cx="3904919" cy="2182633"/>
            <wp:effectExtent l="19050" t="0" r="331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592" t="36302" r="13589" b="1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19" cy="218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DEA" w:rsidRDefault="00064DEA" w:rsidP="00064DEA">
      <w:pPr>
        <w:pStyle w:val="ListParagraph"/>
      </w:pPr>
      <w:r>
        <w:t>Neosjetljivost regulatora je karakteristika automatskih turbinskih regulatora da kad dodje do male promjene frekvencije oni to ne osjete i ne krenu u regulaciju sustava. U tom slucaju moze doci do nezamjetne razlike u potrosnji I proizvodnji. Pozeljno je da je neosjetivljost regulatora sto manja. U svakom slucaju mora biti manja od 10 mHZ.</w:t>
      </w:r>
    </w:p>
    <w:p w:rsidR="00064DEA" w:rsidRPr="00D8450F" w:rsidRDefault="00064DEA" w:rsidP="00064DEA">
      <w:pPr>
        <w:pStyle w:val="ListParagraph"/>
        <w:rPr>
          <w:b/>
        </w:rPr>
      </w:pPr>
    </w:p>
    <w:p w:rsidR="00E74B02" w:rsidRDefault="00E74B02">
      <w:pPr>
        <w:rPr>
          <w:b/>
        </w:rPr>
      </w:pPr>
      <w:r>
        <w:rPr>
          <w:b/>
        </w:rPr>
        <w:br w:type="page"/>
      </w:r>
    </w:p>
    <w:p w:rsidR="00E60EB3" w:rsidRDefault="00D8450F" w:rsidP="00E60EB3">
      <w:pPr>
        <w:pStyle w:val="ListParagraph"/>
        <w:numPr>
          <w:ilvl w:val="0"/>
          <w:numId w:val="1"/>
        </w:numPr>
        <w:rPr>
          <w:b/>
        </w:rPr>
      </w:pPr>
      <w:r w:rsidRPr="00E60EB3">
        <w:rPr>
          <w:b/>
        </w:rPr>
        <w:lastRenderedPageBreak/>
        <w:t>Što opisuje jednadžba njihanja?</w:t>
      </w:r>
    </w:p>
    <w:p w:rsidR="00E60EB3" w:rsidRPr="00E60EB3" w:rsidRDefault="00E60EB3" w:rsidP="00E60EB3">
      <w:pPr>
        <w:pStyle w:val="ListParagraph"/>
        <w:spacing w:after="0"/>
      </w:pPr>
      <w:r w:rsidRPr="00E60EB3">
        <w:t>Jednadžba njihanja opisuje dinamiku rotora</w:t>
      </w:r>
    </w:p>
    <w:p w:rsidR="00D8450F" w:rsidRPr="00E60EB3" w:rsidRDefault="00E60EB3" w:rsidP="00E60EB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5269839" cy="716890"/>
            <wp:effectExtent l="19050" t="0" r="7011" b="0"/>
            <wp:docPr id="2" name="Picture 2" descr="Macintosh HD:Users:ivanrendulic:Desktop:Screen Shot 2011-11-21 at 4.1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vanrendulic:Desktop:Screen Shot 2011-11-21 at 4.16.3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17688" b="26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39" cy="7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50F" w:rsidRDefault="00D8450F" w:rsidP="00E60EB3">
      <w:pPr>
        <w:pStyle w:val="ListParagraph"/>
        <w:numPr>
          <w:ilvl w:val="0"/>
          <w:numId w:val="1"/>
        </w:numPr>
        <w:spacing w:before="240"/>
        <w:rPr>
          <w:b/>
        </w:rPr>
      </w:pPr>
      <w:r w:rsidRPr="00D8450F">
        <w:rPr>
          <w:b/>
        </w:rPr>
        <w:t>Kategorizacija potrošača</w:t>
      </w:r>
    </w:p>
    <w:p w:rsidR="00E74B02" w:rsidRPr="00E74B02" w:rsidRDefault="00E74B02" w:rsidP="00E74B02">
      <w:pPr>
        <w:ind w:left="708"/>
        <w:rPr>
          <w:rFonts w:cstheme="minorHAnsi"/>
        </w:rPr>
      </w:pPr>
      <w:r w:rsidRPr="00E74B02">
        <w:rPr>
          <w:rFonts w:cstheme="minorHAnsi"/>
        </w:rPr>
        <w:t>Potrosaci se gase kod podfrekvencijskog rasterecenja sustava.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Djele se u 5 kategorija.</w:t>
      </w:r>
    </w:p>
    <w:p w:rsidR="00E74B02" w:rsidRPr="00E74B02" w:rsidRDefault="00E74B02" w:rsidP="00E74B0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E74B02">
        <w:rPr>
          <w:rFonts w:cstheme="minorHAnsi"/>
        </w:rPr>
        <w:t>Potrosaci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kod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koji</w:t>
      </w:r>
      <w:r>
        <w:rPr>
          <w:rFonts w:cstheme="minorHAnsi"/>
        </w:rPr>
        <w:t>h</w:t>
      </w:r>
      <w:r w:rsidRPr="00E74B02">
        <w:rPr>
          <w:rFonts w:cstheme="minorHAnsi"/>
        </w:rPr>
        <w:t xml:space="preserve"> ne dolazi do nikakvih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gubitaka u proizvodnji u trenutku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prekida</w:t>
      </w:r>
    </w:p>
    <w:p w:rsidR="00E74B02" w:rsidRPr="00E74B02" w:rsidRDefault="00E74B02" w:rsidP="00E74B0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E74B02">
        <w:rPr>
          <w:rFonts w:cstheme="minorHAnsi"/>
        </w:rPr>
        <w:t>Potrosaci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kod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kojih</w:t>
      </w:r>
      <w:r>
        <w:rPr>
          <w:rFonts w:cstheme="minorHAnsi"/>
        </w:rPr>
        <w:t xml:space="preserve"> </w:t>
      </w:r>
      <w:r w:rsidRPr="00E74B02">
        <w:rPr>
          <w:rFonts w:cstheme="minorHAnsi"/>
        </w:rPr>
        <w:t>gubitci u proizvodnji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linearno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rastu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kako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raste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i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vrijeme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trajanja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kvara</w:t>
      </w:r>
    </w:p>
    <w:p w:rsidR="00E74B02" w:rsidRPr="00E74B02" w:rsidRDefault="00E74B02" w:rsidP="00E74B0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E74B02">
        <w:rPr>
          <w:rFonts w:cstheme="minorHAnsi"/>
        </w:rPr>
        <w:t>Potrosaci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kod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koji</w:t>
      </w:r>
      <w:r w:rsidR="001426D5">
        <w:rPr>
          <w:rFonts w:cstheme="minorHAnsi"/>
        </w:rPr>
        <w:t xml:space="preserve">h </w:t>
      </w:r>
      <w:r w:rsidRPr="00E74B02">
        <w:rPr>
          <w:rFonts w:cstheme="minorHAnsi"/>
        </w:rPr>
        <w:t>dodje do gubitaka u proizvodnji u trenutku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prekida</w:t>
      </w:r>
    </w:p>
    <w:p w:rsidR="00E74B02" w:rsidRPr="00E74B02" w:rsidRDefault="00E74B02" w:rsidP="00E74B02">
      <w:pPr>
        <w:pStyle w:val="ListParagraph"/>
        <w:numPr>
          <w:ilvl w:val="0"/>
          <w:numId w:val="3"/>
        </w:numPr>
        <w:spacing w:line="240" w:lineRule="auto"/>
        <w:rPr>
          <w:rFonts w:cstheme="minorHAnsi"/>
        </w:rPr>
      </w:pPr>
      <w:r w:rsidRPr="00E74B02">
        <w:rPr>
          <w:rFonts w:cstheme="minorHAnsi"/>
        </w:rPr>
        <w:t>Proizvodaci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kod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koji</w:t>
      </w:r>
      <w:r w:rsidR="001426D5">
        <w:rPr>
          <w:rFonts w:cstheme="minorHAnsi"/>
        </w:rPr>
        <w:t xml:space="preserve">h </w:t>
      </w:r>
      <w:r w:rsidRPr="00E74B02">
        <w:rPr>
          <w:rFonts w:cstheme="minorHAnsi"/>
        </w:rPr>
        <w:t>dodje do gubitaka u proizvodnji u trenutku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prekida I gubitci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rastu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linearno</w:t>
      </w:r>
      <w:r w:rsidR="001426D5">
        <w:rPr>
          <w:rFonts w:cstheme="minorHAnsi"/>
        </w:rPr>
        <w:t xml:space="preserve"> s </w:t>
      </w:r>
      <w:r w:rsidRPr="00E74B02">
        <w:rPr>
          <w:rFonts w:cstheme="minorHAnsi"/>
        </w:rPr>
        <w:t>vremenom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trajanja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kvara</w:t>
      </w:r>
    </w:p>
    <w:p w:rsidR="00E74B02" w:rsidRPr="001426D5" w:rsidRDefault="00E74B02" w:rsidP="001426D5">
      <w:pPr>
        <w:pStyle w:val="ListParagraph"/>
        <w:numPr>
          <w:ilvl w:val="0"/>
          <w:numId w:val="3"/>
        </w:numPr>
        <w:spacing w:line="240" w:lineRule="auto"/>
        <w:rPr>
          <w:rFonts w:cstheme="minorHAnsi"/>
        </w:rPr>
      </w:pPr>
      <w:r w:rsidRPr="00E74B02">
        <w:rPr>
          <w:rFonts w:cstheme="minorHAnsi"/>
        </w:rPr>
        <w:t>Bolnice I ostale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vazne</w:t>
      </w:r>
      <w:r w:rsidR="001426D5">
        <w:rPr>
          <w:rFonts w:cstheme="minorHAnsi"/>
        </w:rPr>
        <w:t xml:space="preserve"> </w:t>
      </w:r>
      <w:r w:rsidRPr="00E74B02">
        <w:rPr>
          <w:rFonts w:cstheme="minorHAnsi"/>
        </w:rPr>
        <w:t>ustanove</w:t>
      </w:r>
      <w:r w:rsidR="001426D5">
        <w:rPr>
          <w:rFonts w:cstheme="minorHAnsi"/>
        </w:rPr>
        <w:br/>
      </w:r>
    </w:p>
    <w:p w:rsidR="00D8450F" w:rsidRDefault="00D8450F" w:rsidP="00D8450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Ovisnost potrosaca o frekvenciji</w:t>
      </w:r>
    </w:p>
    <w:p w:rsidR="001426D5" w:rsidRPr="00D8450F" w:rsidRDefault="001426D5" w:rsidP="001426D5">
      <w:pPr>
        <w:pStyle w:val="ListParagraph"/>
        <w:rPr>
          <w:b/>
        </w:rPr>
      </w:pPr>
      <w:r w:rsidRPr="001426D5">
        <w:rPr>
          <w:b/>
        </w:rPr>
        <w:drawing>
          <wp:inline distT="0" distB="0" distL="0" distR="0">
            <wp:extent cx="4492487" cy="2289976"/>
            <wp:effectExtent l="19050" t="0" r="3313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952" t="34301" r="10074" b="13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87" cy="228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0F" w:rsidRDefault="00D8450F" w:rsidP="00D8450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Detaljna podjela pričuve</w:t>
      </w:r>
    </w:p>
    <w:p w:rsidR="001426D5" w:rsidRDefault="001426D5" w:rsidP="001426D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00723" cy="2536466"/>
            <wp:effectExtent l="19050" t="0" r="927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128" t="33212" r="14905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23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D5" w:rsidRDefault="001426D5">
      <w:pPr>
        <w:rPr>
          <w:b/>
        </w:rPr>
      </w:pPr>
      <w:r>
        <w:rPr>
          <w:b/>
        </w:rPr>
        <w:br w:type="page"/>
      </w:r>
    </w:p>
    <w:p w:rsidR="00D8450F" w:rsidRDefault="00D8450F" w:rsidP="00D8450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lastRenderedPageBreak/>
        <w:t>Podfrekvencijsko rasterećenje</w:t>
      </w:r>
    </w:p>
    <w:p w:rsidR="001426D5" w:rsidRDefault="001426D5" w:rsidP="001426D5">
      <w:pPr>
        <w:pStyle w:val="ListParagraph"/>
      </w:pPr>
      <w:r>
        <w:t>Jedno od temeljnih zaštita EES-a</w:t>
      </w:r>
      <w:r>
        <w:br/>
        <w:t>Učinkovitost podfrekvencijskog rasterećenja ovisi o:</w:t>
      </w:r>
    </w:p>
    <w:p w:rsidR="001426D5" w:rsidRDefault="001426D5" w:rsidP="001426D5">
      <w:pPr>
        <w:pStyle w:val="ListParagraph"/>
        <w:numPr>
          <w:ilvl w:val="0"/>
          <w:numId w:val="4"/>
        </w:numPr>
      </w:pPr>
      <w:r>
        <w:t>pravilno izabranom iznosu snage rasterećenja koju treba isključiti u pojedinom stupnju</w:t>
      </w:r>
    </w:p>
    <w:p w:rsidR="001426D5" w:rsidRDefault="001426D5" w:rsidP="001426D5">
      <w:pPr>
        <w:pStyle w:val="ListParagraph"/>
        <w:numPr>
          <w:ilvl w:val="0"/>
          <w:numId w:val="4"/>
        </w:numPr>
      </w:pPr>
      <w:r>
        <w:t>razmještaju podfrekvencijskih releja u sustavu</w:t>
      </w:r>
    </w:p>
    <w:p w:rsidR="001426D5" w:rsidRDefault="001426D5" w:rsidP="001426D5">
      <w:pPr>
        <w:pStyle w:val="ListParagraph"/>
        <w:numPr>
          <w:ilvl w:val="0"/>
          <w:numId w:val="4"/>
        </w:numPr>
      </w:pPr>
      <w:r>
        <w:t>pravilnom podešenju podfrekvencijskih releja po frekvenciji i vremenu</w:t>
      </w:r>
    </w:p>
    <w:p w:rsidR="009B18F4" w:rsidRDefault="001426D5" w:rsidP="001426D5">
      <w:pPr>
        <w:ind w:left="708"/>
      </w:pPr>
      <w:r>
        <w:t>Podfrekvencijsko rasterećenje mora zadovoljavati:</w:t>
      </w:r>
    </w:p>
    <w:p w:rsidR="009B18F4" w:rsidRDefault="009B18F4" w:rsidP="009B18F4">
      <w:pPr>
        <w:pStyle w:val="ListParagraph"/>
        <w:numPr>
          <w:ilvl w:val="0"/>
          <w:numId w:val="5"/>
        </w:numPr>
      </w:pPr>
      <w:r>
        <w:t>frekvencija ne smije pasti ispod 47 Hz i ne smije preći 51 Hz</w:t>
      </w:r>
    </w:p>
    <w:p w:rsidR="009B18F4" w:rsidRDefault="009B18F4" w:rsidP="009B18F4">
      <w:pPr>
        <w:pStyle w:val="ListParagraph"/>
        <w:numPr>
          <w:ilvl w:val="0"/>
          <w:numId w:val="5"/>
        </w:numPr>
      </w:pPr>
      <w:r>
        <w:t>djelovanje rasterećenja ne smije dovesti do daljnjih poremećaja</w:t>
      </w:r>
    </w:p>
    <w:p w:rsidR="009B18F4" w:rsidRDefault="009B18F4" w:rsidP="009B18F4">
      <w:pPr>
        <w:pStyle w:val="ListParagraph"/>
        <w:numPr>
          <w:ilvl w:val="0"/>
          <w:numId w:val="5"/>
        </w:numPr>
      </w:pPr>
      <w:r>
        <w:t>frekvencija se mora vratiti na nazivnu vrijednost i njen oporavak mora biti brz (frekvencija se mora vratiti na vrijednost 49.9 Hz unutar 60 sekundi od zadnjeg poremećaja)</w:t>
      </w:r>
    </w:p>
    <w:p w:rsidR="001426D5" w:rsidRPr="001426D5" w:rsidRDefault="009B18F4" w:rsidP="009B18F4">
      <w:pPr>
        <w:pStyle w:val="ListParagraph"/>
        <w:numPr>
          <w:ilvl w:val="0"/>
          <w:numId w:val="5"/>
        </w:numPr>
      </w:pPr>
      <w:r>
        <w:t>treba uzeti u obzir kategoriziranje potrošača</w:t>
      </w:r>
      <w:r w:rsidR="001426D5">
        <w:br/>
      </w:r>
      <w:r>
        <w:rPr>
          <w:noProof/>
        </w:rPr>
        <w:drawing>
          <wp:inline distT="0" distB="0" distL="0" distR="0">
            <wp:extent cx="4182386" cy="2274073"/>
            <wp:effectExtent l="19050" t="0" r="861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814" t="33938" r="15595" b="14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86" cy="22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3F0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Opisati vodove i kabele kao potrošače jalove snage</w:t>
      </w:r>
    </w:p>
    <w:p w:rsidR="009B18F4" w:rsidRPr="009B18F4" w:rsidRDefault="009B18F4" w:rsidP="009B18F4">
      <w:pPr>
        <w:pStyle w:val="ListParagraph"/>
        <w:spacing w:before="240"/>
      </w:pPr>
      <w:r w:rsidRPr="009B18F4">
        <w:t>Karakterizira ih induktivitet i kapacitet, Induktivitet je zasllužan za potrošnju jalove snage dok je kapacitet proizvodi. Jalova snaga koju troši vod ovisna je o struji opterećenj, dok je jalova snaga koju proizvodi vod ovisna o narinutom naponu</w:t>
      </w:r>
    </w:p>
    <w:p w:rsidR="00DB23F0" w:rsidRPr="009B18F4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Asinkroni motori i transformatori kao potrošači jalove snage (formula i statička karakteristka)</w:t>
      </w:r>
      <w:r w:rsidR="009B18F4">
        <w:rPr>
          <w:b/>
        </w:rPr>
        <w:br/>
      </w:r>
      <w:r w:rsidR="009B18F4" w:rsidRPr="009B18F4">
        <w:t>Asinkroni motori najveći su potrošači jalove snage u EES-u. Razlog tome je zračni raspor zbog kojeg već u praznom hodu potrošnja jalove snage iznosi oko 30% nazivne prividne snage. S povećanjem opterećenja motora raste struja koja prolazi kroz induktivitete motora, a time i potrošnja jalove snage. Slabo opterećeni asinkroni motori prouzrokuju loš cos(fi)</w:t>
      </w:r>
      <w:r w:rsidR="009B18F4">
        <w:t>.</w:t>
      </w:r>
    </w:p>
    <w:p w:rsidR="009B18F4" w:rsidRDefault="009B18F4" w:rsidP="009B18F4">
      <w:pPr>
        <w:pStyle w:val="ListParagraph"/>
        <w:rPr>
          <w:b/>
        </w:rPr>
      </w:pPr>
    </w:p>
    <w:p w:rsidR="009B18F4" w:rsidRPr="00281BE3" w:rsidRDefault="00281BE3" w:rsidP="009B18F4">
      <w:pPr>
        <w:pStyle w:val="ListParagraph"/>
      </w:pPr>
      <w:r w:rsidRPr="00281BE3">
        <w:t>Transformatori su potrošači jalove snage jer i karakterizira induktivna impedancija. U praznom hodu potrošnja jalove snage je oko 1% nazivne, a pri nazivnom opterećenju oko 10%. Jalova snaga troši se na magnetizaciju jezgre i za pokrivanje rasipnih tokova.</w:t>
      </w:r>
    </w:p>
    <w:p w:rsidR="00281BE3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Nabrojati i opisati načine kompenzacije jalove snage</w:t>
      </w:r>
    </w:p>
    <w:p w:rsidR="00281BE3" w:rsidRPr="00281BE3" w:rsidRDefault="00281BE3" w:rsidP="00281BE3">
      <w:pPr>
        <w:pStyle w:val="ListParagraph"/>
      </w:pPr>
      <w:r w:rsidRPr="00281BE3">
        <w:t>Pojedinačna</w:t>
      </w:r>
      <w:r w:rsidR="00031BC4">
        <w:t xml:space="preserve"> (kondenzator je priključen direktno na stezaljke pojedinog trošila)</w:t>
      </w:r>
      <w:r w:rsidRPr="00281BE3">
        <w:t xml:space="preserve">, grupna </w:t>
      </w:r>
      <w:r w:rsidR="00031BC4">
        <w:t xml:space="preserve">(grupa potrošača kompenzira se zajedničkim energetskim kondenzatorom, pa je mreža djelomično rasterećena), </w:t>
      </w:r>
      <w:r w:rsidRPr="00281BE3">
        <w:t>centralna</w:t>
      </w:r>
      <w:r w:rsidR="00031BC4">
        <w:t xml:space="preserve"> (veći broj potrošača kompenzira se jednom </w:t>
      </w:r>
      <w:r w:rsidR="00031BC4">
        <w:lastRenderedPageBreak/>
        <w:t>kondenzatorskom jedinicom smještenoj u trafostanici preko koje se isporučuje energija, jeftinija od pojedinačne kompenzacije pri malom faktoru istodobnosti)</w:t>
      </w:r>
      <w:r w:rsidRPr="00281BE3">
        <w:t xml:space="preserve"> i mješovita</w:t>
      </w:r>
      <w:r w:rsidR="00031BC4">
        <w:t xml:space="preserve"> (kombinacija navedenih)</w:t>
      </w:r>
    </w:p>
    <w:p w:rsidR="00DB23F0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5 razloga za kompenzaciju Q - nabrojati i opisati</w:t>
      </w:r>
    </w:p>
    <w:p w:rsidR="00281BE3" w:rsidRPr="00281BE3" w:rsidRDefault="00281BE3" w:rsidP="00281BE3">
      <w:pPr>
        <w:pStyle w:val="ListParagraph"/>
      </w:pPr>
      <w:r w:rsidRPr="00281BE3">
        <w:t>Tarifna politika (penali za loš faktor snage)</w:t>
      </w:r>
    </w:p>
    <w:p w:rsidR="00281BE3" w:rsidRPr="00281BE3" w:rsidRDefault="00281BE3" w:rsidP="00281BE3">
      <w:pPr>
        <w:pStyle w:val="ListParagraph"/>
      </w:pPr>
      <w:r w:rsidRPr="00281BE3">
        <w:t>Veća potrošnja (dodatni troškovi)</w:t>
      </w:r>
    </w:p>
    <w:p w:rsidR="00281BE3" w:rsidRPr="00281BE3" w:rsidRDefault="00281BE3" w:rsidP="00281BE3">
      <w:pPr>
        <w:pStyle w:val="ListParagraph"/>
      </w:pPr>
      <w:r w:rsidRPr="00281BE3">
        <w:t>Smanjenje mrežnih gubitaka</w:t>
      </w:r>
    </w:p>
    <w:p w:rsidR="00281BE3" w:rsidRPr="00281BE3" w:rsidRDefault="00281BE3" w:rsidP="00281BE3">
      <w:pPr>
        <w:pStyle w:val="ListParagraph"/>
      </w:pPr>
      <w:r w:rsidRPr="00281BE3">
        <w:t>Povećanje naponske stabilnosti (poboljšani tokovi snaga)</w:t>
      </w:r>
    </w:p>
    <w:p w:rsidR="00281BE3" w:rsidRPr="00281BE3" w:rsidRDefault="00281BE3" w:rsidP="00281BE3">
      <w:pPr>
        <w:pStyle w:val="ListParagraph"/>
      </w:pPr>
      <w:r w:rsidRPr="00281BE3">
        <w:t>Kvaliteta električne energije (povećanje prijenosne moći vodova)</w:t>
      </w:r>
    </w:p>
    <w:p w:rsidR="00D8450F" w:rsidRDefault="00D8450F" w:rsidP="00D8450F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Razine U-Q regulacije i kratko opisati</w:t>
      </w:r>
    </w:p>
    <w:p w:rsidR="00031BC4" w:rsidRDefault="00616115" w:rsidP="00031BC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78954" cy="19321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9192" t="35390" r="6102" b="20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54" cy="193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15" w:rsidRDefault="00616115" w:rsidP="00031BC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80583" cy="181289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812" t="33938" r="7505" b="24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83" cy="181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15" w:rsidRDefault="00616115" w:rsidP="00031BC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78954" cy="15664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364" t="34301" r="6904" b="29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54" cy="156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15" w:rsidRPr="00D8450F" w:rsidRDefault="00616115" w:rsidP="00031BC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78954" cy="14948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502" t="33938" r="6812" b="3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54" cy="149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3F0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lastRenderedPageBreak/>
        <w:t>Objasniti što su to pilot čvorišta i regulacijske zone i ukratko opisati postupak izbora pilot čvorišta i zona</w:t>
      </w:r>
    </w:p>
    <w:p w:rsidR="00031BC4" w:rsidRPr="00616115" w:rsidRDefault="00031BC4" w:rsidP="00031BC4">
      <w:pPr>
        <w:pStyle w:val="ListParagraph"/>
      </w:pPr>
      <w:r w:rsidRPr="00616115">
        <w:t>Pilot čvorište je čvorište koje najbolje predstavlja mrežu sa stanovišta naponskih prilika (čvorišta u blizini velikih centara proizvodnje ili potrošnje s velikim strujama KS).</w:t>
      </w:r>
    </w:p>
    <w:p w:rsidR="00031BC4" w:rsidRPr="00616115" w:rsidRDefault="00031BC4" w:rsidP="00031BC4">
      <w:pPr>
        <w:pStyle w:val="ListParagraph"/>
      </w:pPr>
      <w:r w:rsidRPr="00616115">
        <w:t>Za definiranje zona temeljni kriterij je električka povezanost s pilot čvorištem (električka udaljenost). Pilot čvorišta moraju biti električki udaljena od čvorišta susjednih zona.</w:t>
      </w:r>
    </w:p>
    <w:p w:rsidR="00031BC4" w:rsidRPr="00616115" w:rsidRDefault="00031BC4" w:rsidP="00031BC4">
      <w:pPr>
        <w:pStyle w:val="ListParagraph"/>
      </w:pPr>
      <w:r w:rsidRPr="00616115">
        <w:t>Za izbor pilot čvorišta obavlja se proračun 3P KS u prijenosnoj mreži (najveća struja, simetričan s obzirom na mrežu), vrši se rangiranje čvorišta prema opadajućoj struji 3P KS (preliminarni izbor), zatim se gleda električka udaljenost na temelju matrice impedancija</w:t>
      </w:r>
      <w:r w:rsidR="00616115" w:rsidRPr="00616115">
        <w:t>, te se na kraju obavlja revizija preliminarnog izbora i deefiniranje zona</w:t>
      </w:r>
    </w:p>
    <w:p w:rsidR="00DB23F0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Podjela regulacijskih uređaja</w:t>
      </w:r>
    </w:p>
    <w:p w:rsidR="00616115" w:rsidRPr="00616115" w:rsidRDefault="00616115" w:rsidP="00616115">
      <w:pPr>
        <w:pStyle w:val="ListParagraph"/>
      </w:pPr>
      <w:r w:rsidRPr="00616115">
        <w:t>Prema konstrukciji (rotacijski stroojevi, statički uređaji), načinu priključka (paralelni i serijski), karakteru regulacije proizvedene jalove snage (diskretna ili kontinuirana regulacija) i prema upravljivosti i dinamičkim svojstvima (djelatna regulacijska sredstva i pasivna regulacijska sredstva)</w:t>
      </w:r>
    </w:p>
    <w:p w:rsidR="00000000" w:rsidRDefault="00DB23F0" w:rsidP="00DB23F0">
      <w:pPr>
        <w:pStyle w:val="ListParagraph"/>
        <w:numPr>
          <w:ilvl w:val="0"/>
          <w:numId w:val="1"/>
        </w:numPr>
        <w:rPr>
          <w:b/>
        </w:rPr>
      </w:pPr>
      <w:r w:rsidRPr="00D8450F">
        <w:rPr>
          <w:b/>
        </w:rPr>
        <w:t>Regulacijska sklopka - nacin rada, komponente, opisati prebacivanje sklopke</w:t>
      </w:r>
    </w:p>
    <w:p w:rsidR="00616115" w:rsidRDefault="00616115" w:rsidP="0061611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966418" cy="1789043"/>
            <wp:effectExtent l="19050" t="0" r="563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226" t="33938" r="5519" b="25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18" cy="178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15" w:rsidRDefault="000F1508" w:rsidP="00616115">
      <w:pPr>
        <w:pStyle w:val="ListParagraph"/>
        <w:rPr>
          <w:noProof/>
        </w:rPr>
      </w:pPr>
      <w:r w:rsidRPr="000F1508">
        <w:rPr>
          <w:noProof/>
        </w:rPr>
        <w:t>Može biti unutar ili izvan transformatora</w:t>
      </w:r>
      <w:r>
        <w:rPr>
          <w:noProof/>
        </w:rPr>
        <w:t>.</w:t>
      </w:r>
      <w:r w:rsidRPr="000F1508">
        <w:rPr>
          <w:noProof/>
        </w:rPr>
        <w:t xml:space="preserve"> </w:t>
      </w:r>
    </w:p>
    <w:p w:rsidR="000F1508" w:rsidRPr="000F1508" w:rsidRDefault="000F1508" w:rsidP="00616115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1854200</wp:posOffset>
            </wp:positionH>
            <wp:positionV relativeFrom="paragraph">
              <wp:posOffset>73660</wp:posOffset>
            </wp:positionV>
            <wp:extent cx="4250690" cy="2790825"/>
            <wp:effectExtent l="1905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3608" t="23268" r="12566" b="1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273810" cy="242514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8293" t="29141" r="39608" b="1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242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1508">
        <w:t xml:space="preserve"> </w:t>
      </w:r>
    </w:p>
    <w:p w:rsidR="00D8450F" w:rsidRPr="00D8450F" w:rsidRDefault="00D8450F" w:rsidP="000F1508">
      <w:pPr>
        <w:rPr>
          <w:b/>
        </w:rPr>
      </w:pPr>
    </w:p>
    <w:sectPr w:rsidR="00D8450F" w:rsidRPr="00D845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Verdana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06618"/>
    <w:multiLevelType w:val="hybridMultilevel"/>
    <w:tmpl w:val="1ACC772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EB1412"/>
    <w:multiLevelType w:val="hybridMultilevel"/>
    <w:tmpl w:val="41D262E0"/>
    <w:lvl w:ilvl="0" w:tplc="E6B2C9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2C8701E"/>
    <w:multiLevelType w:val="hybridMultilevel"/>
    <w:tmpl w:val="E28A4AE2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ED3DA5"/>
    <w:multiLevelType w:val="hybridMultilevel"/>
    <w:tmpl w:val="581457B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B3022CD"/>
    <w:multiLevelType w:val="hybridMultilevel"/>
    <w:tmpl w:val="B994E150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DB23F0"/>
    <w:rsid w:val="00031BC4"/>
    <w:rsid w:val="00064DEA"/>
    <w:rsid w:val="000F1508"/>
    <w:rsid w:val="001426D5"/>
    <w:rsid w:val="00281BE3"/>
    <w:rsid w:val="00420B3F"/>
    <w:rsid w:val="00616115"/>
    <w:rsid w:val="006C0410"/>
    <w:rsid w:val="0085325D"/>
    <w:rsid w:val="009B18F4"/>
    <w:rsid w:val="00D8450F"/>
    <w:rsid w:val="00DB23F0"/>
    <w:rsid w:val="00E60EB3"/>
    <w:rsid w:val="00E74B02"/>
    <w:rsid w:val="00FC5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5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5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3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45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45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862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2011-11-22T18:47:00Z</dcterms:created>
  <dcterms:modified xsi:type="dcterms:W3CDTF">2011-11-22T20:33:00Z</dcterms:modified>
</cp:coreProperties>
</file>