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25" w:rsidRDefault="004F7419" w:rsidP="004F7419">
      <w:pPr>
        <w:pStyle w:val="ListParagraph"/>
        <w:numPr>
          <w:ilvl w:val="0"/>
          <w:numId w:val="1"/>
        </w:numPr>
        <w:spacing w:line="360" w:lineRule="auto"/>
        <w:jc w:val="both"/>
      </w:pPr>
      <w:r>
        <w:rPr>
          <w:b/>
        </w:rPr>
        <w:t xml:space="preserve">Stereoskopski vid </w:t>
      </w:r>
      <w:r>
        <w:t xml:space="preserve">je sposobnost detektiranja predmeta u 3 dimenzije. </w:t>
      </w:r>
      <w:r w:rsidRPr="004F7419">
        <w:rPr>
          <w:b/>
        </w:rPr>
        <w:t>Percepcija dubine</w:t>
      </w:r>
      <w:r>
        <w:rPr>
          <w:b/>
        </w:rPr>
        <w:t xml:space="preserve"> </w:t>
      </w:r>
      <w:r>
        <w:t>se ljudskom vizualnom sustavu stvara zahvaljujući sposobnosti ljudskog mozga da interpretira više tipova dubinskih znakova. Dubinski znakovi daju određene informacije o dubini ljudskom vizualnom sustavu, mogu biti monokularni ili binokularni.</w:t>
      </w:r>
    </w:p>
    <w:p w:rsidR="008B6381" w:rsidRDefault="004F7419" w:rsidP="008B6381">
      <w:pPr>
        <w:pStyle w:val="ListParagraph"/>
        <w:numPr>
          <w:ilvl w:val="0"/>
          <w:numId w:val="1"/>
        </w:numPr>
        <w:spacing w:line="360" w:lineRule="auto"/>
        <w:jc w:val="both"/>
      </w:pPr>
      <w:r>
        <w:rPr>
          <w:b/>
        </w:rPr>
        <w:t>Paralaksa</w:t>
      </w:r>
      <w:r>
        <w:t xml:space="preserve"> je udaljenost između odgovarajućih točaka u slikama lijevog i desnog oka. </w:t>
      </w:r>
      <w:r w:rsidRPr="004F7419">
        <w:rPr>
          <w:b/>
        </w:rPr>
        <w:t>Pozitivna paralaksa</w:t>
      </w:r>
      <w:r>
        <w:t xml:space="preserve"> je kad točka u slici desnog oka leži više desno nego odgovarajuća točka u slici lijevog oka, točka kovergencije je iza zastora, 3D slika nastaje u prostoru zaslona. </w:t>
      </w:r>
      <w:r>
        <w:rPr>
          <w:b/>
        </w:rPr>
        <w:t>Nulta paralaksa</w:t>
      </w:r>
      <w:r>
        <w:t xml:space="preserve"> je kada točka u slici desnog oka leži na istom mjestu kao i odgovarajuća točka u slici lijevog oka, točka konvergencije je točno na zaslonu, objekt je smešten na istoj dubini kao i zastor. </w:t>
      </w:r>
      <w:r w:rsidR="008B6381">
        <w:rPr>
          <w:b/>
        </w:rPr>
        <w:t xml:space="preserve">Negativna paralaksa </w:t>
      </w:r>
      <w:r w:rsidR="008B6381">
        <w:t>je kad točka u slici desnog oka leži više lijevo nego odgovarajuća točka u slici lijevog oka, točka konvergencije je ispred zaslona, 3D slika nastaje u prostoru gledatelja, objekt je smješten između zastora i gledatelja.</w:t>
      </w:r>
    </w:p>
    <w:p w:rsidR="008B6381" w:rsidRDefault="008B6381" w:rsidP="00C817DA">
      <w:pPr>
        <w:pStyle w:val="ListParagraph"/>
        <w:numPr>
          <w:ilvl w:val="0"/>
          <w:numId w:val="1"/>
        </w:numPr>
        <w:tabs>
          <w:tab w:val="left" w:pos="3969"/>
        </w:tabs>
        <w:spacing w:line="360" w:lineRule="auto"/>
        <w:jc w:val="both"/>
      </w:pPr>
      <w:r>
        <w:t xml:space="preserve">Kod </w:t>
      </w:r>
      <w:r>
        <w:rPr>
          <w:b/>
        </w:rPr>
        <w:t>multipleksiranja u boji</w:t>
      </w:r>
      <w:r>
        <w:t xml:space="preserve"> se lijeva i desna slika filtriraju filtrima koji uklanjaju određeno područje boja iz slike, promatrač mora nositi pasivne naočale s odgovarajućim filtrima, usklađenim s filtrima koje se rabe za dobivanje stereoskopskog para, obojenim tako da svako oko vidi samo jednu sliku. </w:t>
      </w:r>
      <w:r>
        <w:rPr>
          <w:b/>
        </w:rPr>
        <w:t>Multipleksiranje po polarizaciji</w:t>
      </w:r>
      <w:r>
        <w:t xml:space="preserve"> je tehnika koja se služi polarizacijom svjetlosti za prikaz pojedinih slika, zahtjeva dva projektora za prikazivanje (jedan lijevu, drugi desnu sliku) pri čemu su slike različito polarizirane (ugl linearno)</w:t>
      </w:r>
      <w:r w:rsidR="00C817DA">
        <w:t xml:space="preserve">, pasivne gledateljeve naočale razdvajaju slike za lijevo i desno oko (zbog polarizacijskih filtra propuštaju samo željenu sliku). Kod </w:t>
      </w:r>
      <w:r w:rsidR="00C817DA">
        <w:rPr>
          <w:b/>
        </w:rPr>
        <w:t>naizmjeničnog prikazivanja slika</w:t>
      </w:r>
      <w:r w:rsidR="00C817DA">
        <w:t xml:space="preserve"> se na zaslonu naizmjence prikazuju lijeva i desna slika u vrlo kratkim intervalima (ljudski vizualni sustav spaja slike u cjelinu), gledanje pomoću aktivnih sinkroniziranih naočala.</w:t>
      </w:r>
    </w:p>
    <w:p w:rsidR="005853B5" w:rsidRDefault="005853B5" w:rsidP="00C817DA">
      <w:pPr>
        <w:pStyle w:val="ListParagraph"/>
        <w:numPr>
          <w:ilvl w:val="0"/>
          <w:numId w:val="1"/>
        </w:numPr>
        <w:tabs>
          <w:tab w:val="left" w:pos="3969"/>
        </w:tabs>
        <w:spacing w:line="360" w:lineRule="auto"/>
        <w:jc w:val="both"/>
      </w:pPr>
      <w:r>
        <w:t>Autostereoskopski pristup rješava osnovni nedostatak stereoskopskog pristupa – potrebu za nošenjem naočala. Dvije osnovne metode autostereoskopskog pristupa su uporaba lentikularnih leća i uporaba paralaksne barijere</w:t>
      </w:r>
      <w:r w:rsidRPr="004D4CC3">
        <w:rPr>
          <w:b/>
        </w:rPr>
        <w:t>.</w:t>
      </w:r>
      <w:r w:rsidR="004D4CC3" w:rsidRPr="004D4CC3">
        <w:rPr>
          <w:b/>
        </w:rPr>
        <w:t xml:space="preserve"> Lentikularne leće</w:t>
      </w:r>
      <w:r w:rsidR="004D4CC3">
        <w:t xml:space="preserve"> su tanke leće poredane u niz na ploču te zatim na površinu zaslona, gledajući sliku na zaslonu, lijevo i desno oko vide različite slike koje mozak kombinira u 3D sliku. </w:t>
      </w:r>
      <w:r w:rsidR="004D4CC3">
        <w:rPr>
          <w:b/>
        </w:rPr>
        <w:t>Paralaksna barijera</w:t>
      </w:r>
      <w:r w:rsidR="004D4CC3">
        <w:t xml:space="preserve"> je fina rešetka tekućih kristala smještenih ispred ekrana, omogućuje svakom oku da vidi drugu skupinu piksela.</w:t>
      </w:r>
    </w:p>
    <w:p w:rsidR="004D4CC3" w:rsidRDefault="004D4CC3" w:rsidP="00C817DA">
      <w:pPr>
        <w:pStyle w:val="ListParagraph"/>
        <w:numPr>
          <w:ilvl w:val="0"/>
          <w:numId w:val="1"/>
        </w:numPr>
        <w:tabs>
          <w:tab w:val="left" w:pos="3969"/>
        </w:tabs>
        <w:spacing w:line="360" w:lineRule="auto"/>
        <w:jc w:val="both"/>
      </w:pPr>
      <w:r>
        <w:t xml:space="preserve">Kod </w:t>
      </w:r>
      <w:r>
        <w:rPr>
          <w:b/>
        </w:rPr>
        <w:t>Side by Side formata</w:t>
      </w:r>
      <w:r>
        <w:t xml:space="preserve"> se dvije slike koje čine stereopar prenose unutar jedne HDTV slike, tako da svaka zauzima pola horizontalnog formata HDTV slike. Slike su horizontalno skalirane tako da svaka sadrži upola manje elemenata slike u horizontalnom smjeru od cijele HDTV slike. Dolazi do smanjenja horizontalne rezolucije za svaku sliku u paru. Nakon dekodiranja, prijamnik provodi horizontalno skaliranje svake slike iz para do veličine ekrana. Kod </w:t>
      </w:r>
      <w:r>
        <w:rPr>
          <w:b/>
        </w:rPr>
        <w:t xml:space="preserve">Top and </w:t>
      </w:r>
      <w:r w:rsidRPr="004D4CC3">
        <w:rPr>
          <w:b/>
        </w:rPr>
        <w:t>Bottom formata</w:t>
      </w:r>
      <w:r>
        <w:t xml:space="preserve"> se dvije slike koje čine stereopar prenose unutar jedne HDTV slike, tako da svaka zauzima pola vertikalnog formata slike. Lijeva i desna slika iz stereopara su vertikalno </w:t>
      </w:r>
      <w:r>
        <w:lastRenderedPageBreak/>
        <w:t>skalirane tako da svaka sadrži upola manje elemenata slike u vertikalnom smjeru od cijele HDTV slike. Dolazi do smanjenja vertikalne rezolucije za svaku sliku u paru. Nakon dekodiranja prijamnik provodi vertikalno skaliranje svake slike iz para do veličine ekrana.</w:t>
      </w:r>
    </w:p>
    <w:p w:rsidR="004D4CC3" w:rsidRDefault="00421BA2" w:rsidP="00C817DA">
      <w:pPr>
        <w:pStyle w:val="ListParagraph"/>
        <w:numPr>
          <w:ilvl w:val="0"/>
          <w:numId w:val="1"/>
        </w:numPr>
        <w:tabs>
          <w:tab w:val="left" w:pos="3969"/>
        </w:tabs>
        <w:spacing w:line="360" w:lineRule="auto"/>
        <w:jc w:val="both"/>
      </w:pPr>
      <w:r>
        <w:rPr>
          <w:b/>
        </w:rPr>
        <w:t>Prednosti uporabe OFDM tehnike u radijskim sustavima</w:t>
      </w:r>
      <w:r>
        <w:t xml:space="preserve"> su dobra svojstva u uvjetima izraženog višestaznog prostiranja, dobra svojstva u slučaju višestukog prijama, dobitak mreže i visoka spektralna djelotvornost. </w:t>
      </w:r>
      <w:r>
        <w:rPr>
          <w:b/>
        </w:rPr>
        <w:t xml:space="preserve">Nedostaci </w:t>
      </w:r>
      <w:r>
        <w:t>su potreba za sinkronizacijom, kompleksnost uređaja uzrokovana primjenom IFFT u odašiljaču i FFT u prijamniku, osjetljivost na frekvencijski pomak podnositelja i visoki omjeri vršne i srednje snage.</w:t>
      </w:r>
    </w:p>
    <w:p w:rsidR="00577CD6" w:rsidRDefault="00577CD6" w:rsidP="00C817DA">
      <w:pPr>
        <w:pStyle w:val="ListParagraph"/>
        <w:numPr>
          <w:ilvl w:val="0"/>
          <w:numId w:val="1"/>
        </w:numPr>
        <w:tabs>
          <w:tab w:val="left" w:pos="3969"/>
        </w:tabs>
        <w:spacing w:line="360" w:lineRule="auto"/>
        <w:jc w:val="both"/>
      </w:pPr>
      <w:r>
        <w:rPr>
          <w:b/>
        </w:rPr>
        <w:t xml:space="preserve">OFDM simbol </w:t>
      </w:r>
      <w:r>
        <w:t xml:space="preserve">je skup podnositelja u određenom vremenskom segmentu. </w:t>
      </w:r>
      <w:r w:rsidRPr="00577CD6">
        <w:rPr>
          <w:b/>
        </w:rPr>
        <w:t>Trajanje OFDM simbola</w:t>
      </w:r>
      <w:r>
        <w:t xml:space="preserve"> je jednako inverznoj vrijednosti frekvencijskog razmaka između podnositelja.</w:t>
      </w:r>
    </w:p>
    <w:p w:rsidR="00577CD6" w:rsidRDefault="00577CD6" w:rsidP="00C817DA">
      <w:pPr>
        <w:pStyle w:val="ListParagraph"/>
        <w:numPr>
          <w:ilvl w:val="0"/>
          <w:numId w:val="1"/>
        </w:numPr>
        <w:tabs>
          <w:tab w:val="left" w:pos="3969"/>
        </w:tabs>
        <w:spacing w:line="360" w:lineRule="auto"/>
        <w:jc w:val="both"/>
      </w:pPr>
      <w:r>
        <w:t>Ukupan broj podnositelja se računa kao 2</w:t>
      </w:r>
      <w:r>
        <w:rPr>
          <w:vertAlign w:val="superscript"/>
        </w:rPr>
        <w:t>x</w:t>
      </w:r>
      <w:r>
        <w:t>, pri čemu je x=13 za 8k sustave (2</w:t>
      </w:r>
      <w:r>
        <w:rPr>
          <w:vertAlign w:val="superscript"/>
        </w:rPr>
        <w:t>13</w:t>
      </w:r>
      <w:r>
        <w:t xml:space="preserve"> = 8192), a x=11 za 2k sustave (2</w:t>
      </w:r>
      <w:r>
        <w:rPr>
          <w:vertAlign w:val="superscript"/>
        </w:rPr>
        <w:t>11</w:t>
      </w:r>
      <w:r>
        <w:t xml:space="preserve"> = 2048). Trajanje simbola određeno je periodom uzrokovanja i brojem podnositelja – T =7/64 </w:t>
      </w:r>
      <w:r>
        <w:rPr>
          <w:rFonts w:cstheme="minorHAnsi"/>
        </w:rPr>
        <w:t>µ</w:t>
      </w:r>
      <w:r>
        <w:t>s, T</w:t>
      </w:r>
      <w:r>
        <w:rPr>
          <w:vertAlign w:val="subscript"/>
        </w:rPr>
        <w:t>S</w:t>
      </w:r>
      <w:r>
        <w:t xml:space="preserve">(8k) = 8192*7/64 </w:t>
      </w:r>
      <w:r>
        <w:rPr>
          <w:rFonts w:cstheme="minorHAnsi"/>
        </w:rPr>
        <w:t>µ</w:t>
      </w:r>
      <w:r>
        <w:t xml:space="preserve">s = 896 </w:t>
      </w:r>
      <w:r>
        <w:rPr>
          <w:rFonts w:cstheme="minorHAnsi"/>
        </w:rPr>
        <w:t>µ</w:t>
      </w:r>
      <w:r>
        <w:t>s, T</w:t>
      </w:r>
      <w:r>
        <w:rPr>
          <w:vertAlign w:val="subscript"/>
        </w:rPr>
        <w:t>S</w:t>
      </w:r>
      <w:r>
        <w:t xml:space="preserve">(2k) = 2048*7/64 </w:t>
      </w:r>
      <w:r>
        <w:rPr>
          <w:rFonts w:cstheme="minorHAnsi"/>
        </w:rPr>
        <w:t>µ</w:t>
      </w:r>
      <w:r>
        <w:t xml:space="preserve">s = 224 </w:t>
      </w:r>
      <w:r>
        <w:rPr>
          <w:rFonts w:cstheme="minorHAnsi"/>
        </w:rPr>
        <w:t>µ</w:t>
      </w:r>
      <w:r>
        <w:t xml:space="preserve">s. Razmaci između podnositelja su </w:t>
      </w:r>
      <w:r>
        <w:rPr>
          <w:rFonts w:cstheme="minorHAnsi"/>
        </w:rPr>
        <w:t>∆</w:t>
      </w:r>
      <w:r>
        <w:t xml:space="preserve">f (8k) = 1/896 </w:t>
      </w:r>
      <w:r>
        <w:rPr>
          <w:rFonts w:cstheme="minorHAnsi"/>
        </w:rPr>
        <w:t>µ</w:t>
      </w:r>
      <w:r>
        <w:t xml:space="preserve">s = 1116 Hz, </w:t>
      </w:r>
      <w:r>
        <w:rPr>
          <w:rFonts w:cstheme="minorHAnsi"/>
        </w:rPr>
        <w:t>∆</w:t>
      </w:r>
      <w:r>
        <w:t xml:space="preserve">f (2k) = 1/224 </w:t>
      </w:r>
      <w:r>
        <w:rPr>
          <w:rFonts w:cstheme="minorHAnsi"/>
        </w:rPr>
        <w:t>µ</w:t>
      </w:r>
      <w:r>
        <w:t>s = 4464 Hz. Tv normama je širina kanala ograničena na 8 MHz, od ukupnog broja podnositelja N prenosi se K=6817 (8k)</w:t>
      </w:r>
      <w:r w:rsidR="00287389">
        <w:t xml:space="preserve"> – 6817*1116 Hz=7,61 MHz, K=1705 (2k) – 1705*4464 Hz = 7,61 MHz.</w:t>
      </w:r>
    </w:p>
    <w:p w:rsidR="00287389" w:rsidRDefault="00287389" w:rsidP="00C817DA">
      <w:pPr>
        <w:pStyle w:val="ListParagraph"/>
        <w:numPr>
          <w:ilvl w:val="0"/>
          <w:numId w:val="1"/>
        </w:numPr>
        <w:tabs>
          <w:tab w:val="left" w:pos="3969"/>
        </w:tabs>
        <w:spacing w:line="360" w:lineRule="auto"/>
        <w:jc w:val="both"/>
      </w:pPr>
      <w:r>
        <w:rPr>
          <w:b/>
        </w:rPr>
        <w:t>Piloti za signalizaciju prijenosnih parametara</w:t>
      </w:r>
      <w:r>
        <w:t xml:space="preserve"> u DVB-T sustavu označavaju vrstu modulacije, veličinu zaštitnog intervala, omjer koda za unutarnje kodiranje, vrstu sustava (8k ili 2k), hijerarhijsko kodiranje.</w:t>
      </w:r>
    </w:p>
    <w:p w:rsidR="00287389" w:rsidRDefault="00287389" w:rsidP="00287389">
      <w:pPr>
        <w:pStyle w:val="ListParagraph"/>
        <w:numPr>
          <w:ilvl w:val="0"/>
          <w:numId w:val="1"/>
        </w:numPr>
        <w:tabs>
          <w:tab w:val="left" w:pos="3969"/>
        </w:tabs>
        <w:spacing w:line="360" w:lineRule="auto"/>
        <w:jc w:val="both"/>
      </w:pPr>
      <w:r>
        <w:rPr>
          <w:b/>
        </w:rPr>
        <w:t>Zaštitni interval kod OFDM prijenosa</w:t>
      </w:r>
      <w:r>
        <w:t xml:space="preserve"> se ubacuje između OFDM simbola. Služi za izbjegavanje intersimbolne interferencije. Za vrijeme zaštitnog intervala prenosi se kopija signala s kraja korisnog dijela simbola, koja se smješta na početak simbola, čime se postiže kontinuitet toka podataka.</w:t>
      </w:r>
    </w:p>
    <w:p w:rsidR="00287389" w:rsidRDefault="00287389" w:rsidP="00287389">
      <w:pPr>
        <w:pStyle w:val="ListParagraph"/>
        <w:numPr>
          <w:ilvl w:val="0"/>
          <w:numId w:val="1"/>
        </w:numPr>
        <w:tabs>
          <w:tab w:val="left" w:pos="3969"/>
        </w:tabs>
        <w:spacing w:line="360" w:lineRule="auto"/>
        <w:jc w:val="both"/>
      </w:pPr>
      <w:r>
        <w:rPr>
          <w:b/>
        </w:rPr>
        <w:t>Pri planiranju DVB-T sustava rabe se modeli kanala</w:t>
      </w:r>
      <w:r>
        <w:t xml:space="preserve"> Gaussov kanal, Riceov kanal i Rayleighev kanal. Gaussov kanal je kanal u kome nema reflektiranih signala, a prijenosnom signalu se superponira šum. </w:t>
      </w:r>
      <w:r w:rsidR="00A61447">
        <w:t>Prijamno po</w:t>
      </w:r>
      <w:r>
        <w:t>l</w:t>
      </w:r>
      <w:r w:rsidR="00A61447">
        <w:t>je</w:t>
      </w:r>
      <w:r>
        <w:t xml:space="preserve"> ima Riceovu razdiobu,</w:t>
      </w:r>
      <w:r w:rsidR="00A61447">
        <w:t xml:space="preserve"> ako</w:t>
      </w:r>
      <w:r>
        <w:t xml:space="preserve"> j</w:t>
      </w:r>
      <w:r w:rsidR="00A61447">
        <w:t>edan prijenosni put signala</w:t>
      </w:r>
      <w:r>
        <w:t xml:space="preserve"> ima optičku vidljivost prijamnika i odašiljača (direktan signal), a ostali prijenosni putovi imaju veća gušenja i duža kašnjenja za direktnim signalom</w:t>
      </w:r>
      <w:r w:rsidR="00A61447">
        <w:t>. Frekvencijski odziv Riceovog kanala nije konstantan. Prijamno polje ima Raleighevu razdiobu, ako ne postoji optička vidljivost prijamnika i odašiljama te postoje samo reflektirani signali, tako da na prijamnu antenu dolazi više zraka približno iste snaga, a amplitude i faze su im slučajne veličine. Frekvencijski odziv Rayleighevog kanala nije ravan, te je neujednačenost intenzivnija nego kod Riceovog kanala.</w:t>
      </w:r>
    </w:p>
    <w:p w:rsidR="00A61447" w:rsidRDefault="00A61447" w:rsidP="00287389">
      <w:pPr>
        <w:pStyle w:val="ListParagraph"/>
        <w:numPr>
          <w:ilvl w:val="0"/>
          <w:numId w:val="1"/>
        </w:numPr>
        <w:tabs>
          <w:tab w:val="left" w:pos="3969"/>
        </w:tabs>
        <w:spacing w:line="360" w:lineRule="auto"/>
        <w:jc w:val="both"/>
      </w:pPr>
      <w:r>
        <w:rPr>
          <w:b/>
        </w:rPr>
        <w:t>Ukupna brzina prijenosa</w:t>
      </w:r>
      <w:r>
        <w:t xml:space="preserve"> je brzina prijenosa svih bitova, tj informacijskih i zaštitnih, dok je </w:t>
      </w:r>
      <w:r>
        <w:rPr>
          <w:b/>
        </w:rPr>
        <w:t>korisna brzina prijenosa</w:t>
      </w:r>
      <w:r>
        <w:t xml:space="preserve"> brzina prijenosa informacijskih bitova.</w:t>
      </w:r>
    </w:p>
    <w:p w:rsidR="00A61447" w:rsidRDefault="00A61447" w:rsidP="00287389">
      <w:pPr>
        <w:pStyle w:val="ListParagraph"/>
        <w:numPr>
          <w:ilvl w:val="0"/>
          <w:numId w:val="1"/>
        </w:numPr>
        <w:tabs>
          <w:tab w:val="left" w:pos="3969"/>
        </w:tabs>
        <w:spacing w:line="360" w:lineRule="auto"/>
        <w:jc w:val="both"/>
      </w:pPr>
      <w:r>
        <w:rPr>
          <w:b/>
        </w:rPr>
        <w:lastRenderedPageBreak/>
        <w:t xml:space="preserve">Spektralna djelotvornost </w:t>
      </w:r>
      <w:r>
        <w:t>se dobiva dijeljenjem korisne brzine prijenosa sa širinom kanala (bit/s/Hz) te govori o učinkovitosti frekvencijskog spektra pri prijenosu.</w:t>
      </w:r>
    </w:p>
    <w:p w:rsidR="00A61447" w:rsidRDefault="00A61447" w:rsidP="00A61447">
      <w:pPr>
        <w:pStyle w:val="ListParagraph"/>
        <w:numPr>
          <w:ilvl w:val="0"/>
          <w:numId w:val="1"/>
        </w:numPr>
        <w:tabs>
          <w:tab w:val="left" w:pos="3969"/>
        </w:tabs>
        <w:spacing w:line="360" w:lineRule="auto"/>
        <w:jc w:val="both"/>
      </w:pPr>
      <w:r>
        <w:t xml:space="preserve">2k varijanta DVB-T sustava pogodnija je za realizaciju </w:t>
      </w:r>
      <w:r w:rsidRPr="00927BD2">
        <w:rPr>
          <w:b/>
        </w:rPr>
        <w:t>mobilnog prijama</w:t>
      </w:r>
      <w:r>
        <w:t xml:space="preserve"> od</w:t>
      </w:r>
      <w:r>
        <w:t xml:space="preserve"> </w:t>
      </w:r>
      <w:r>
        <w:t>varijante 8k, jer</w:t>
      </w:r>
      <w:r w:rsidR="00927BD2">
        <w:t>,</w:t>
      </w:r>
      <w:r>
        <w:t xml:space="preserve"> zbog većeg frekvencijskog r</w:t>
      </w:r>
      <w:r w:rsidR="00927BD2">
        <w:t>azmaka između podnositelja, ima</w:t>
      </w:r>
      <w:r>
        <w:t xml:space="preserve"> bolju toleranciju na Dopplerov efekt.</w:t>
      </w:r>
    </w:p>
    <w:p w:rsidR="00927BD2" w:rsidRDefault="00927BD2" w:rsidP="00A61447">
      <w:pPr>
        <w:pStyle w:val="ListParagraph"/>
        <w:numPr>
          <w:ilvl w:val="0"/>
          <w:numId w:val="1"/>
        </w:numPr>
        <w:tabs>
          <w:tab w:val="left" w:pos="3969"/>
        </w:tabs>
        <w:spacing w:line="360" w:lineRule="auto"/>
        <w:jc w:val="both"/>
      </w:pPr>
      <w:r>
        <w:rPr>
          <w:b/>
        </w:rPr>
        <w:t xml:space="preserve">Jednofrekvencijske mreže (SFN, Single Frequency Network) </w:t>
      </w:r>
      <w:r>
        <w:t>su mreže sinkroniziranih odašiljača koji rade na istoj frekvenciji i prenose iste programe. Rabe se prednosti COFDM tehnike. Omogućen je veći broj pokrivanja nego kod MFN. Na topologiju mreže najviše utječe odabir trajanja zaštitnog intervala . Trajanjem zaštitnog intervala određena je veličina SFN mreže i djelotvornost prijenosa.</w:t>
      </w:r>
    </w:p>
    <w:p w:rsidR="00927BD2" w:rsidRDefault="00927BD2" w:rsidP="00927BD2">
      <w:pPr>
        <w:pStyle w:val="ListParagraph"/>
        <w:numPr>
          <w:ilvl w:val="0"/>
          <w:numId w:val="1"/>
        </w:numPr>
        <w:tabs>
          <w:tab w:val="left" w:pos="3969"/>
        </w:tabs>
        <w:spacing w:line="360" w:lineRule="auto"/>
        <w:jc w:val="both"/>
      </w:pPr>
      <w:r w:rsidRPr="00927BD2">
        <w:t xml:space="preserve">8k varijanta DVB-T sustava pogodnija je za </w:t>
      </w:r>
      <w:r w:rsidRPr="00927BD2">
        <w:rPr>
          <w:b/>
        </w:rPr>
        <w:t>realizaciju velikih SFN mreža</w:t>
      </w:r>
      <w:r w:rsidRPr="00927BD2">
        <w:t>, jer duže trajanje zaštitnog intervala omogućava veću udaljenost između istokanalnih odašiljača.</w:t>
      </w:r>
    </w:p>
    <w:p w:rsidR="00981E14" w:rsidRDefault="00981E14" w:rsidP="00981E14">
      <w:pPr>
        <w:pStyle w:val="ListParagraph"/>
        <w:numPr>
          <w:ilvl w:val="0"/>
          <w:numId w:val="1"/>
        </w:numPr>
        <w:tabs>
          <w:tab w:val="left" w:pos="3969"/>
        </w:tabs>
        <w:spacing w:line="360" w:lineRule="auto"/>
        <w:jc w:val="both"/>
      </w:pPr>
      <w:r>
        <w:t xml:space="preserve">U DVB-T2 sustavima se određene vrsta usluga prenose u </w:t>
      </w:r>
      <w:r w:rsidRPr="00981E14">
        <w:rPr>
          <w:b/>
        </w:rPr>
        <w:t xml:space="preserve">odvojenim logičkim kanalima na fizičkom sloju, (PLP, Physical Layer Pipes) </w:t>
      </w:r>
      <w:r>
        <w:t>pri čemu se za svaki PLP mogu zasebno definirati parametri kodiranja radi zaštite od pogrešaka. U svakom PLP-u se može prenositi zasebna usluga, za svaki PLP mogu se zasebno definirati parametri kodiranja radi zaštite od pogrešaka, modulacijski postupak za podnosioce, brzina prijenosa TS-a i stupanj ispreplitanja. Svi PLP-ovi u jednom TV kanalu imaju zajedničke parametre: središnja frekvencija, SFN/MISO, širina kanala, širina zaštitnog intervala, veličina IFFT-a i predložak za raspršene pilotske signale.</w:t>
      </w:r>
    </w:p>
    <w:p w:rsidR="00981E14" w:rsidRDefault="0083350C" w:rsidP="00981E14">
      <w:pPr>
        <w:pStyle w:val="ListParagraph"/>
        <w:numPr>
          <w:ilvl w:val="0"/>
          <w:numId w:val="1"/>
        </w:numPr>
        <w:tabs>
          <w:tab w:val="left" w:pos="3969"/>
        </w:tabs>
        <w:spacing w:line="360" w:lineRule="auto"/>
        <w:jc w:val="both"/>
      </w:pPr>
      <w:r>
        <w:t xml:space="preserve">U sustavu DVB-T2 dolazi do </w:t>
      </w:r>
      <w:r w:rsidRPr="0083350C">
        <w:rPr>
          <w:b/>
        </w:rPr>
        <w:t>povećanja kapaciteta</w:t>
      </w:r>
      <w:r>
        <w:t xml:space="preserve"> (najveće korisne brzine prijenosa) u odn</w:t>
      </w:r>
      <w:r>
        <w:t>osu na sustav DVB-T zbog: moduliranja 256-QAM, promjenjene IFFT veličine (32k), smanjenja zaštitnog intervala, smanjenja omjera koda, smanjanja udjela raspršenih i kontinuiranih pilotskih signala.</w:t>
      </w:r>
    </w:p>
    <w:p w:rsidR="00981E14" w:rsidRDefault="0083350C" w:rsidP="00981E14">
      <w:pPr>
        <w:pStyle w:val="ListParagraph"/>
        <w:numPr>
          <w:ilvl w:val="0"/>
          <w:numId w:val="1"/>
        </w:numPr>
        <w:tabs>
          <w:tab w:val="left" w:pos="3969"/>
        </w:tabs>
        <w:spacing w:line="360" w:lineRule="auto"/>
        <w:jc w:val="both"/>
      </w:pPr>
      <w:r>
        <w:t>Trajanje elementarnog simbola T</w:t>
      </w:r>
      <w:r>
        <w:rPr>
          <w:vertAlign w:val="subscript"/>
        </w:rPr>
        <w:t>S0</w:t>
      </w:r>
      <w:r>
        <w:t xml:space="preserve"> različito je za različite širine kanala, tj što je veća širina kanala kraće je trajanje elementarnog simbola</w:t>
      </w:r>
      <w:r w:rsidRPr="0083350C">
        <w:rPr>
          <w:b/>
        </w:rPr>
        <w:t>. Trajanje OFDM simbola</w:t>
      </w:r>
      <w:r>
        <w:t xml:space="preserve"> jednako je umnošku trajanja elementarnog simbola i ukupnog broja podnosilaca (aktivnih i neaktivnih).</w:t>
      </w:r>
    </w:p>
    <w:p w:rsidR="0083350C" w:rsidRDefault="0083350C" w:rsidP="00981E14">
      <w:pPr>
        <w:pStyle w:val="ListParagraph"/>
        <w:numPr>
          <w:ilvl w:val="0"/>
          <w:numId w:val="1"/>
        </w:numPr>
        <w:tabs>
          <w:tab w:val="left" w:pos="3969"/>
        </w:tabs>
        <w:spacing w:line="360" w:lineRule="auto"/>
        <w:jc w:val="both"/>
      </w:pPr>
      <w:r>
        <w:rPr>
          <w:b/>
        </w:rPr>
        <w:t>DVB-T2 okvir</w:t>
      </w:r>
      <w:r>
        <w:t xml:space="preserve"> se dijeli na OFDM simbole. Na početku svakog T2 okvira nalazi se preambula (služi za prijenos sinkronizacijskih podataka i skraćuje vrijeme sinkronizacije, od 1 P1 simbola ili više P2 simbola). Iza preambule slijedi podesivi broj</w:t>
      </w:r>
      <w:r w:rsidR="00EB1C3E">
        <w:t xml:space="preserve"> podatkovnih simbola koji služe za prijenos PLP-ova. Trajanje T2 okvira određeno je IFFT veličinom, zaštitnim intervalom i brojem OFDM simbola (T</w:t>
      </w:r>
      <w:r w:rsidR="00EB1C3E">
        <w:rPr>
          <w:vertAlign w:val="subscript"/>
        </w:rPr>
        <w:t>F</w:t>
      </w:r>
      <w:r w:rsidR="00EB1C3E">
        <w:t xml:space="preserve"> = L</w:t>
      </w:r>
      <w:r w:rsidR="00EB1C3E">
        <w:rPr>
          <w:vertAlign w:val="subscript"/>
        </w:rPr>
        <w:t>F</w:t>
      </w:r>
      <w:r w:rsidR="00EB1C3E">
        <w:t xml:space="preserve"> * T</w:t>
      </w:r>
      <w:r w:rsidR="00EB1C3E">
        <w:rPr>
          <w:vertAlign w:val="subscript"/>
        </w:rPr>
        <w:t>U</w:t>
      </w:r>
      <w:r w:rsidR="00EB1C3E">
        <w:t xml:space="preserve"> + T</w:t>
      </w:r>
      <w:r w:rsidR="00EB1C3E">
        <w:rPr>
          <w:vertAlign w:val="subscript"/>
        </w:rPr>
        <w:t>P1</w:t>
      </w:r>
      <w:r w:rsidR="00EB1C3E">
        <w:t>).</w:t>
      </w:r>
    </w:p>
    <w:p w:rsidR="00EB1C3E" w:rsidRDefault="00EB1C3E" w:rsidP="00981E14">
      <w:pPr>
        <w:pStyle w:val="ListParagraph"/>
        <w:numPr>
          <w:ilvl w:val="0"/>
          <w:numId w:val="1"/>
        </w:numPr>
        <w:tabs>
          <w:tab w:val="left" w:pos="3969"/>
        </w:tabs>
        <w:spacing w:line="360" w:lineRule="auto"/>
        <w:jc w:val="both"/>
      </w:pPr>
      <w:r w:rsidRPr="00EB1C3E">
        <w:rPr>
          <w:b/>
        </w:rPr>
        <w:t>Vrste PLP-ova</w:t>
      </w:r>
      <w:r>
        <w:t>: PLP vrste 0 (type 0 – common PLP) je zajednički PLP koji prenosi podatke koji su zajednički za više podatkovnih PLP-ova; PLP vrste 1 je PLP čije ćelije mogu zauzimati jedan odsječak po okviru; PLP vrste 2 je PLP čije ćelije mogu zauzimati više odječaka po okviru.</w:t>
      </w:r>
    </w:p>
    <w:p w:rsidR="00EB1C3E" w:rsidRDefault="00EB1C3E" w:rsidP="00981E14">
      <w:pPr>
        <w:pStyle w:val="ListParagraph"/>
        <w:numPr>
          <w:ilvl w:val="0"/>
          <w:numId w:val="1"/>
        </w:numPr>
        <w:tabs>
          <w:tab w:val="left" w:pos="3969"/>
        </w:tabs>
        <w:spacing w:line="360" w:lineRule="auto"/>
        <w:jc w:val="both"/>
      </w:pPr>
      <w:r>
        <w:rPr>
          <w:b/>
        </w:rPr>
        <w:lastRenderedPageBreak/>
        <w:t xml:space="preserve">Broj aktivnih ćelija </w:t>
      </w:r>
      <w:r>
        <w:t>unutar pojedinog podatkovnog simbola ovisi o veličini IFFT postupka (normalni i produženi mod) i o predlošku za određivanje položaja raspršenih pilotskih signala (od PP1 do PP8).</w:t>
      </w:r>
    </w:p>
    <w:p w:rsidR="00EB1C3E" w:rsidRDefault="00EB1C3E" w:rsidP="00981E14">
      <w:pPr>
        <w:pStyle w:val="ListParagraph"/>
        <w:numPr>
          <w:ilvl w:val="0"/>
          <w:numId w:val="1"/>
        </w:numPr>
        <w:tabs>
          <w:tab w:val="left" w:pos="3969"/>
        </w:tabs>
        <w:spacing w:line="360" w:lineRule="auto"/>
        <w:jc w:val="both"/>
      </w:pPr>
      <w:r>
        <w:rPr>
          <w:b/>
        </w:rPr>
        <w:t xml:space="preserve">FEC okvir </w:t>
      </w:r>
      <w:r>
        <w:t>nastaje dodavanje BCH koda i LDPC koda na BB okvir. BB okvir se sastoji od BB zaglavlja, DFL (polje s podacima) i K</w:t>
      </w:r>
      <w:r>
        <w:rPr>
          <w:vertAlign w:val="subscript"/>
        </w:rPr>
        <w:t>BCH</w:t>
      </w:r>
      <w:r>
        <w:t>-DFL (unutarpojasna signalizacija i/ili popunjavanje).</w:t>
      </w:r>
    </w:p>
    <w:p w:rsidR="00EB1C3E" w:rsidRDefault="00BC0EF2" w:rsidP="00981E14">
      <w:pPr>
        <w:pStyle w:val="ListParagraph"/>
        <w:numPr>
          <w:ilvl w:val="0"/>
          <w:numId w:val="1"/>
        </w:numPr>
        <w:tabs>
          <w:tab w:val="left" w:pos="3969"/>
        </w:tabs>
        <w:spacing w:line="360" w:lineRule="auto"/>
        <w:jc w:val="both"/>
      </w:pPr>
      <w:r>
        <w:rPr>
          <w:b/>
        </w:rPr>
        <w:t>Posljedica</w:t>
      </w:r>
      <w:r w:rsidR="00EB1C3E">
        <w:rPr>
          <w:b/>
        </w:rPr>
        <w:t xml:space="preserve"> uvođenja produžnog moda podnosilaca</w:t>
      </w:r>
      <w:r w:rsidR="00EB1C3E">
        <w:t xml:space="preserve"> </w:t>
      </w:r>
      <w:r>
        <w:t xml:space="preserve">je </w:t>
      </w:r>
      <w:r w:rsidR="000C1AA9">
        <w:t>veća širina kanala.</w:t>
      </w:r>
      <w:bookmarkStart w:id="0" w:name="_GoBack"/>
      <w:bookmarkEnd w:id="0"/>
    </w:p>
    <w:sectPr w:rsidR="00EB1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802B6"/>
    <w:multiLevelType w:val="hybridMultilevel"/>
    <w:tmpl w:val="537A051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19"/>
    <w:rsid w:val="000C1AA9"/>
    <w:rsid w:val="000E2225"/>
    <w:rsid w:val="00287389"/>
    <w:rsid w:val="00421BA2"/>
    <w:rsid w:val="004D4CC3"/>
    <w:rsid w:val="004F7419"/>
    <w:rsid w:val="00577CD6"/>
    <w:rsid w:val="005853B5"/>
    <w:rsid w:val="0073023F"/>
    <w:rsid w:val="0083350C"/>
    <w:rsid w:val="008B6381"/>
    <w:rsid w:val="00927BD2"/>
    <w:rsid w:val="00981E14"/>
    <w:rsid w:val="00A61447"/>
    <w:rsid w:val="00B217D1"/>
    <w:rsid w:val="00BC0EF2"/>
    <w:rsid w:val="00C40B9E"/>
    <w:rsid w:val="00C817DA"/>
    <w:rsid w:val="00EB1C3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19"/>
    <w:pPr>
      <w:ind w:left="720"/>
      <w:contextualSpacing/>
    </w:pPr>
  </w:style>
  <w:style w:type="character" w:styleId="PlaceholderText">
    <w:name w:val="Placeholder Text"/>
    <w:basedOn w:val="DefaultParagraphFont"/>
    <w:uiPriority w:val="99"/>
    <w:semiHidden/>
    <w:rsid w:val="00577CD6"/>
    <w:rPr>
      <w:color w:val="808080"/>
    </w:rPr>
  </w:style>
  <w:style w:type="paragraph" w:styleId="BalloonText">
    <w:name w:val="Balloon Text"/>
    <w:basedOn w:val="Normal"/>
    <w:link w:val="BalloonTextChar"/>
    <w:uiPriority w:val="99"/>
    <w:semiHidden/>
    <w:unhideWhenUsed/>
    <w:rsid w:val="00577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19"/>
    <w:pPr>
      <w:ind w:left="720"/>
      <w:contextualSpacing/>
    </w:pPr>
  </w:style>
  <w:style w:type="character" w:styleId="PlaceholderText">
    <w:name w:val="Placeholder Text"/>
    <w:basedOn w:val="DefaultParagraphFont"/>
    <w:uiPriority w:val="99"/>
    <w:semiHidden/>
    <w:rsid w:val="00577CD6"/>
    <w:rPr>
      <w:color w:val="808080"/>
    </w:rPr>
  </w:style>
  <w:style w:type="paragraph" w:styleId="BalloonText">
    <w:name w:val="Balloon Text"/>
    <w:basedOn w:val="Normal"/>
    <w:link w:val="BalloonTextChar"/>
    <w:uiPriority w:val="99"/>
    <w:semiHidden/>
    <w:unhideWhenUsed/>
    <w:rsid w:val="00577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Josipa</dc:creator>
  <cp:lastModifiedBy>Josipa</cp:lastModifiedBy>
  <cp:revision>7</cp:revision>
  <dcterms:created xsi:type="dcterms:W3CDTF">2012-06-16T14:28:00Z</dcterms:created>
  <dcterms:modified xsi:type="dcterms:W3CDTF">2012-06-16T16:58:00Z</dcterms:modified>
</cp:coreProperties>
</file>