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C9" w:rsidRPr="00D66CC4" w:rsidRDefault="00EE7F50" w:rsidP="00EE7F50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Svako gibanje u odnosu na inercijski sustav zvat ćemo </w:t>
      </w:r>
      <w:r w:rsidRPr="00D66CC4">
        <w:rPr>
          <w:rFonts w:cs="Tahoma-Bold"/>
          <w:b/>
          <w:bCs/>
          <w:sz w:val="20"/>
          <w:szCs w:val="20"/>
        </w:rPr>
        <w:t>apsolutnim</w:t>
      </w:r>
      <w:r w:rsidRPr="00D66CC4">
        <w:rPr>
          <w:rFonts w:cs="Tahoma"/>
          <w:sz w:val="20"/>
          <w:szCs w:val="20"/>
        </w:rPr>
        <w:t xml:space="preserve">, u odnosu na </w:t>
      </w:r>
      <w:proofErr w:type="spellStart"/>
      <w:r w:rsidRPr="00D66CC4">
        <w:rPr>
          <w:rFonts w:cs="Tahoma"/>
          <w:sz w:val="20"/>
          <w:szCs w:val="20"/>
        </w:rPr>
        <w:t>neinercijski</w:t>
      </w:r>
      <w:proofErr w:type="spellEnd"/>
      <w:r w:rsidRPr="00D66CC4">
        <w:rPr>
          <w:rFonts w:cs="Tahoma"/>
          <w:sz w:val="20"/>
          <w:szCs w:val="20"/>
        </w:rPr>
        <w:t xml:space="preserve"> sustav </w:t>
      </w:r>
      <w:r w:rsidRPr="00D66CC4">
        <w:rPr>
          <w:rFonts w:cs="Tahoma-Bold"/>
          <w:b/>
          <w:bCs/>
          <w:sz w:val="20"/>
          <w:szCs w:val="20"/>
        </w:rPr>
        <w:t>relativnim</w:t>
      </w:r>
      <w:r w:rsidRPr="00D66CC4">
        <w:rPr>
          <w:rFonts w:cs="Tahoma"/>
          <w:sz w:val="20"/>
          <w:szCs w:val="20"/>
        </w:rPr>
        <w:t xml:space="preserve">, a gibanje </w:t>
      </w:r>
      <w:proofErr w:type="spellStart"/>
      <w:r w:rsidRPr="00D66CC4">
        <w:rPr>
          <w:rFonts w:cs="Tahoma"/>
          <w:sz w:val="20"/>
          <w:szCs w:val="20"/>
        </w:rPr>
        <w:t>neinercijskog</w:t>
      </w:r>
      <w:proofErr w:type="spellEnd"/>
      <w:r w:rsidRPr="00D66CC4">
        <w:rPr>
          <w:rFonts w:cs="Tahoma"/>
          <w:sz w:val="20"/>
          <w:szCs w:val="20"/>
        </w:rPr>
        <w:t xml:space="preserve"> sustava u odnosu na inercijski </w:t>
      </w:r>
      <w:r w:rsidRPr="00D66CC4">
        <w:rPr>
          <w:rFonts w:cs="Tahoma-Bold"/>
          <w:b/>
          <w:bCs/>
          <w:sz w:val="20"/>
          <w:szCs w:val="20"/>
        </w:rPr>
        <w:t>prijenosnim</w:t>
      </w:r>
      <w:r w:rsidRPr="00D66CC4">
        <w:rPr>
          <w:rFonts w:cs="Tahoma"/>
          <w:sz w:val="20"/>
          <w:szCs w:val="20"/>
        </w:rPr>
        <w:t>.</w:t>
      </w:r>
    </w:p>
    <w:p w:rsidR="007C7316" w:rsidRPr="00D66CC4" w:rsidRDefault="007C7316" w:rsidP="00EE7F5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6CC4">
        <w:rPr>
          <w:noProof/>
          <w:sz w:val="20"/>
          <w:szCs w:val="20"/>
          <w:lang w:eastAsia="hr-HR"/>
        </w:rPr>
        <w:drawing>
          <wp:inline distT="0" distB="0" distL="0" distR="0">
            <wp:extent cx="1076325" cy="16227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16" w:rsidRPr="00D66CC4" w:rsidRDefault="007C7316" w:rsidP="00EE7F5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66CC4">
        <w:rPr>
          <w:noProof/>
          <w:sz w:val="20"/>
          <w:szCs w:val="20"/>
          <w:lang w:eastAsia="hr-HR"/>
        </w:rPr>
        <w:drawing>
          <wp:inline distT="0" distB="0" distL="0" distR="0">
            <wp:extent cx="1655444" cy="314325"/>
            <wp:effectExtent l="19050" t="0" r="19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4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316" w:rsidRPr="00D66CC4" w:rsidRDefault="007C7316" w:rsidP="007C7316">
      <w:pPr>
        <w:autoSpaceDE w:val="0"/>
        <w:autoSpaceDN w:val="0"/>
        <w:adjustRightInd w:val="0"/>
        <w:spacing w:after="0" w:line="240" w:lineRule="auto"/>
        <w:rPr>
          <w:rFonts w:cs="Tahoma"/>
          <w:color w:val="33339B"/>
          <w:sz w:val="20"/>
          <w:szCs w:val="20"/>
        </w:rPr>
      </w:pPr>
      <w:r w:rsidRPr="00D66CC4">
        <w:rPr>
          <w:rFonts w:cs="Tahoma"/>
          <w:color w:val="33339B"/>
          <w:sz w:val="20"/>
          <w:szCs w:val="20"/>
        </w:rPr>
        <w:t>Odgovorimo sada na ranije postavljeno pitanje:</w:t>
      </w:r>
    </w:p>
    <w:p w:rsidR="007C7316" w:rsidRPr="00D66CC4" w:rsidRDefault="007C7316" w:rsidP="007C7316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u kojem će se smjeru (prema ili od osi vrtnje) pokrenuti balon ispunjen helijem i vezan za pod automobila što (naglo) zaokreće?</w:t>
      </w:r>
    </w:p>
    <w:p w:rsidR="007C7316" w:rsidRPr="00D66CC4" w:rsidRDefault="007C7316" w:rsidP="007C7316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Balon će se pomaknuti u suprotnom smjeru od smjera djelovanja centrifugalne sile, prema </w:t>
      </w:r>
      <w:r w:rsidR="0012671B" w:rsidRPr="00D66CC4">
        <w:rPr>
          <w:rFonts w:cs="Tahoma"/>
          <w:sz w:val="20"/>
          <w:szCs w:val="20"/>
        </w:rPr>
        <w:t>o</w:t>
      </w:r>
      <w:r w:rsidRPr="00D66CC4">
        <w:rPr>
          <w:rFonts w:cs="Tahoma"/>
          <w:sz w:val="20"/>
          <w:szCs w:val="20"/>
        </w:rPr>
        <w:t>si</w:t>
      </w:r>
      <w:r w:rsidR="0012671B" w:rsidRPr="00D66CC4">
        <w:rPr>
          <w:rFonts w:cs="Tahoma"/>
          <w:sz w:val="20"/>
          <w:szCs w:val="20"/>
        </w:rPr>
        <w:t xml:space="preserve"> </w:t>
      </w:r>
      <w:r w:rsidRPr="00D66CC4">
        <w:rPr>
          <w:rFonts w:cs="Tahoma"/>
          <w:sz w:val="20"/>
          <w:szCs w:val="20"/>
        </w:rPr>
        <w:t>vrtnje (prema sredini zaokreta).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postupak centrifugiranja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Postupak centrifugiranja svodi se na unašanje tijela(čestice) u kapljevinu smještenu u nekoj posudi koju se zatim rotira.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To znači da se i čestice, kojima se gustoća malo razlikuje od gustoće fluida, mogu postupkom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 xml:space="preserve">centrifugiranja pokrenuti. Na taj je način moguće odijeliti čestice od kapljevine što se u polju sile teže Zemlje ne bi moglo postići zbog premalih sila. Centrifugiranje zbog toga ima važne primjene u znanosti i tehnici; primjerice, odjeljivanjem molekula od kapljevine, i mjerenjem brzine sedimentacije molekula, određuju se njihove mase. U elektroenergetici taj se postupak, uz ostale, upotrebljava prigodom odjeljivanja izotopa urana u procesu obogaćivanja urana. 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Ako je </w:t>
      </w:r>
      <w:proofErr w:type="spellStart"/>
      <w:r w:rsidRPr="00D66CC4">
        <w:rPr>
          <w:rFonts w:cs="Tahoma-Bold"/>
          <w:b/>
          <w:bCs/>
          <w:sz w:val="20"/>
          <w:szCs w:val="20"/>
        </w:rPr>
        <w:t>ρč</w:t>
      </w:r>
      <w:proofErr w:type="spellEnd"/>
      <w:r w:rsidRPr="00D66CC4">
        <w:rPr>
          <w:rFonts w:cs="Tahoma-Bold"/>
          <w:b/>
          <w:bCs/>
          <w:sz w:val="20"/>
          <w:szCs w:val="20"/>
        </w:rPr>
        <w:t xml:space="preserve"> &gt; </w:t>
      </w:r>
      <w:proofErr w:type="spellStart"/>
      <w:r w:rsidRPr="00D66CC4">
        <w:rPr>
          <w:rFonts w:cs="Tahoma-Bold"/>
          <w:b/>
          <w:bCs/>
          <w:sz w:val="20"/>
          <w:szCs w:val="20"/>
        </w:rPr>
        <w:t>ρfl</w:t>
      </w:r>
      <w:proofErr w:type="spellEnd"/>
      <w:r w:rsidRPr="00D66CC4">
        <w:rPr>
          <w:rFonts w:cs="Tahoma-Bold"/>
          <w:b/>
          <w:bCs/>
          <w:sz w:val="20"/>
          <w:szCs w:val="20"/>
        </w:rPr>
        <w:t xml:space="preserve"> </w:t>
      </w:r>
      <w:r w:rsidRPr="00D66CC4">
        <w:rPr>
          <w:rFonts w:cs="Tahoma"/>
          <w:sz w:val="20"/>
          <w:szCs w:val="20"/>
        </w:rPr>
        <w:t xml:space="preserve">, smjer je </w:t>
      </w:r>
      <w:proofErr w:type="spellStart"/>
      <w:r w:rsidRPr="00D66CC4">
        <w:rPr>
          <w:rFonts w:cs="Tahoma"/>
          <w:sz w:val="20"/>
          <w:szCs w:val="20"/>
        </w:rPr>
        <w:t>rezultantne</w:t>
      </w:r>
      <w:proofErr w:type="spellEnd"/>
      <w:r w:rsidRPr="00D66CC4">
        <w:rPr>
          <w:rFonts w:cs="Tahoma"/>
          <w:sz w:val="20"/>
          <w:szCs w:val="20"/>
        </w:rPr>
        <w:t xml:space="preserve"> sile prema „van“, </w:t>
      </w:r>
      <w:proofErr w:type="spellStart"/>
      <w:r w:rsidRPr="00D66CC4">
        <w:rPr>
          <w:rFonts w:cs="Tahoma"/>
          <w:sz w:val="20"/>
          <w:szCs w:val="20"/>
        </w:rPr>
        <w:t>tj</w:t>
      </w:r>
      <w:proofErr w:type="spellEnd"/>
      <w:r w:rsidRPr="00D66CC4">
        <w:rPr>
          <w:rFonts w:cs="Tahoma"/>
          <w:sz w:val="20"/>
          <w:szCs w:val="20"/>
        </w:rPr>
        <w:t xml:space="preserve">. smjer jediničnog vektora; čestica „tone“ u područje većeg tlaka, giba se prema bočnoj </w:t>
      </w:r>
      <w:proofErr w:type="spellStart"/>
      <w:r w:rsidRPr="00D66CC4">
        <w:rPr>
          <w:rFonts w:cs="Tahoma"/>
          <w:sz w:val="20"/>
          <w:szCs w:val="20"/>
        </w:rPr>
        <w:t>stijenci</w:t>
      </w:r>
      <w:proofErr w:type="spellEnd"/>
      <w:r w:rsidRPr="00D66CC4">
        <w:rPr>
          <w:rFonts w:cs="Tahoma"/>
          <w:sz w:val="20"/>
          <w:szCs w:val="20"/>
        </w:rPr>
        <w:t xml:space="preserve"> posude.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Suprotno, ukoliko je </w:t>
      </w:r>
      <w:proofErr w:type="spellStart"/>
      <w:r w:rsidRPr="00D66CC4">
        <w:rPr>
          <w:rFonts w:cs="Tahoma-Bold"/>
          <w:b/>
          <w:bCs/>
          <w:sz w:val="20"/>
          <w:szCs w:val="20"/>
        </w:rPr>
        <w:t>ρč</w:t>
      </w:r>
      <w:proofErr w:type="spellEnd"/>
      <w:r w:rsidRPr="00D66CC4">
        <w:rPr>
          <w:rFonts w:cs="Tahoma-Bold"/>
          <w:b/>
          <w:bCs/>
          <w:sz w:val="20"/>
          <w:szCs w:val="20"/>
        </w:rPr>
        <w:t xml:space="preserve"> &lt; </w:t>
      </w:r>
      <w:proofErr w:type="spellStart"/>
      <w:r w:rsidRPr="00D66CC4">
        <w:rPr>
          <w:rFonts w:cs="Tahoma-Bold"/>
          <w:b/>
          <w:bCs/>
          <w:sz w:val="20"/>
          <w:szCs w:val="20"/>
        </w:rPr>
        <w:t>ρfl</w:t>
      </w:r>
      <w:proofErr w:type="spellEnd"/>
      <w:r w:rsidRPr="00D66CC4">
        <w:rPr>
          <w:rFonts w:cs="Tahoma-Bold"/>
          <w:b/>
          <w:bCs/>
          <w:sz w:val="20"/>
          <w:szCs w:val="20"/>
        </w:rPr>
        <w:t xml:space="preserve"> </w:t>
      </w:r>
      <w:r w:rsidRPr="00D66CC4">
        <w:rPr>
          <w:rFonts w:cs="Tahoma"/>
          <w:sz w:val="20"/>
          <w:szCs w:val="20"/>
        </w:rPr>
        <w:t xml:space="preserve">, smjer je </w:t>
      </w:r>
      <w:proofErr w:type="spellStart"/>
      <w:r w:rsidRPr="00D66CC4">
        <w:rPr>
          <w:rFonts w:cs="Tahoma"/>
          <w:sz w:val="20"/>
          <w:szCs w:val="20"/>
        </w:rPr>
        <w:t>rezultantne</w:t>
      </w:r>
      <w:proofErr w:type="spellEnd"/>
      <w:r w:rsidRPr="00D66CC4">
        <w:rPr>
          <w:rFonts w:cs="Tahoma"/>
          <w:sz w:val="20"/>
          <w:szCs w:val="20"/>
        </w:rPr>
        <w:t xml:space="preserve"> sile suprotan smjeru koordinatne osi r, sila je usmjerena prema osi vrtnje, čestica se „uspinje“ u područje nižeg tlaka, giba</w:t>
      </w:r>
    </w:p>
    <w:p w:rsidR="0012671B" w:rsidRPr="00D66CC4" w:rsidRDefault="0012671B" w:rsidP="0012671B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sz w:val="20"/>
          <w:szCs w:val="20"/>
        </w:rPr>
        <w:t>se prema osi vrtnje (osi z).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>Analize strujanja fluida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A. individualni, supstancijalni ili</w:t>
      </w:r>
      <w:r w:rsidR="00AC75AA" w:rsidRPr="00D66CC4">
        <w:rPr>
          <w:rFonts w:cs="Tahoma-Bold"/>
          <w:b/>
          <w:bCs/>
          <w:color w:val="000000"/>
          <w:sz w:val="20"/>
          <w:szCs w:val="20"/>
        </w:rPr>
        <w:t xml:space="preserve"> </w:t>
      </w:r>
      <w:r w:rsidRPr="00D66CC4">
        <w:rPr>
          <w:rFonts w:cs="Tahoma-Bold"/>
          <w:b/>
          <w:bCs/>
          <w:color w:val="000000"/>
          <w:sz w:val="20"/>
          <w:szCs w:val="20"/>
        </w:rPr>
        <w:t>materijalni volumen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 xml:space="preserve">B.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Lagrangeov</w:t>
      </w:r>
      <w:proofErr w:type="spellEnd"/>
      <w:r w:rsidRPr="00D66CC4">
        <w:rPr>
          <w:rFonts w:cs="Tahoma-Bold"/>
          <w:b/>
          <w:bCs/>
          <w:color w:val="000000"/>
          <w:sz w:val="20"/>
          <w:szCs w:val="20"/>
        </w:rPr>
        <w:t xml:space="preserve"> ili supstancijalni</w:t>
      </w:r>
      <w:r w:rsidR="00AC75AA" w:rsidRPr="00D66CC4">
        <w:rPr>
          <w:rFonts w:cs="Tahoma-Bold"/>
          <w:b/>
          <w:bCs/>
          <w:color w:val="000000"/>
          <w:sz w:val="20"/>
          <w:szCs w:val="20"/>
        </w:rPr>
        <w:t xml:space="preserve"> </w:t>
      </w:r>
      <w:r w:rsidRPr="00D66CC4">
        <w:rPr>
          <w:rFonts w:cs="Tahoma-Bold"/>
          <w:b/>
          <w:bCs/>
          <w:color w:val="000000"/>
          <w:sz w:val="20"/>
          <w:szCs w:val="20"/>
        </w:rPr>
        <w:t>način</w:t>
      </w:r>
    </w:p>
    <w:p w:rsidR="0012671B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C. Eulerov ili lokalni način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>Uzrok gibanja čestica fluida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 xml:space="preserve">a)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masene</w:t>
      </w:r>
      <w:proofErr w:type="spellEnd"/>
      <w:r w:rsidRPr="00D66CC4">
        <w:rPr>
          <w:rFonts w:cs="Tahoma-Bold"/>
          <w:b/>
          <w:bCs/>
          <w:color w:val="000000"/>
          <w:sz w:val="20"/>
          <w:szCs w:val="20"/>
        </w:rPr>
        <w:t xml:space="preserve"> (volumenske) sile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b) površinske sile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c) sile viskoziteta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d) elastične sile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>Strujanje fluida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Protjecanje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Optjecanje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Kombinacija protjecanja i optjecanja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 xml:space="preserve">Staze i </w:t>
      </w:r>
      <w:proofErr w:type="spellStart"/>
      <w:r w:rsidRPr="00D66CC4">
        <w:rPr>
          <w:rFonts w:cs="Tahoma-Bold"/>
          <w:b/>
          <w:bCs/>
          <w:color w:val="33339B"/>
          <w:sz w:val="20"/>
          <w:szCs w:val="20"/>
        </w:rPr>
        <w:t>strujnice</w:t>
      </w:r>
      <w:proofErr w:type="spellEnd"/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 xml:space="preserve">Kod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nestacionarnog</w:t>
      </w:r>
      <w:proofErr w:type="spellEnd"/>
      <w:r w:rsidRPr="00D66CC4">
        <w:rPr>
          <w:rFonts w:cs="Tahoma-Bold"/>
          <w:b/>
          <w:bCs/>
          <w:color w:val="000000"/>
          <w:sz w:val="20"/>
          <w:szCs w:val="20"/>
        </w:rPr>
        <w:t xml:space="preserve"> strujanja staze se i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strujnice</w:t>
      </w:r>
      <w:proofErr w:type="spellEnd"/>
      <w:r w:rsidRPr="00D66CC4">
        <w:rPr>
          <w:rFonts w:cs="Tahoma-Bold"/>
          <w:b/>
          <w:bCs/>
          <w:color w:val="000000"/>
          <w:sz w:val="20"/>
          <w:szCs w:val="20"/>
        </w:rPr>
        <w:t xml:space="preserve"> ne podudaraju.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Stazom (putanjom ili trajektorijom) neke čestice fluida nazivamo krivulju koju čestica fluida svojim gibanjem opisuje u prostoru.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proofErr w:type="spellStart"/>
      <w:r w:rsidRPr="00D66CC4">
        <w:rPr>
          <w:rFonts w:cs="Tahoma"/>
          <w:sz w:val="20"/>
          <w:szCs w:val="20"/>
        </w:rPr>
        <w:t>Strujnice</w:t>
      </w:r>
      <w:proofErr w:type="spellEnd"/>
      <w:r w:rsidRPr="00D66CC4">
        <w:rPr>
          <w:rFonts w:cs="Tahoma"/>
          <w:sz w:val="20"/>
          <w:szCs w:val="20"/>
        </w:rPr>
        <w:t xml:space="preserve"> predstavljaju smjer gibanja većeg broja čestica fluida u istom trenutku.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proofErr w:type="spellStart"/>
      <w:r w:rsidRPr="00D66CC4">
        <w:rPr>
          <w:rFonts w:cs="Tahoma"/>
          <w:sz w:val="20"/>
          <w:szCs w:val="20"/>
        </w:rPr>
        <w:t>Strujnice</w:t>
      </w:r>
      <w:proofErr w:type="spellEnd"/>
      <w:r w:rsidRPr="00D66CC4">
        <w:rPr>
          <w:rFonts w:cs="Tahoma"/>
          <w:sz w:val="20"/>
          <w:szCs w:val="20"/>
        </w:rPr>
        <w:t xml:space="preserve"> su linije koje su u prostoru strujanja fluida</w:t>
      </w:r>
      <w:r w:rsidR="00D646DF" w:rsidRPr="00D66CC4">
        <w:rPr>
          <w:rFonts w:cs="Tahoma"/>
          <w:sz w:val="20"/>
          <w:szCs w:val="20"/>
        </w:rPr>
        <w:t xml:space="preserve"> </w:t>
      </w:r>
      <w:r w:rsidRPr="00D66CC4">
        <w:rPr>
          <w:rFonts w:cs="Tahoma"/>
          <w:sz w:val="20"/>
          <w:szCs w:val="20"/>
        </w:rPr>
        <w:t>tangencijalne na vektor trenutačne brzine čestice fluida na promatranom mjestu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Ako je strujanje </w:t>
      </w:r>
      <w:proofErr w:type="spellStart"/>
      <w:r w:rsidRPr="00D66CC4">
        <w:rPr>
          <w:rFonts w:cs="Tahoma"/>
          <w:sz w:val="20"/>
          <w:szCs w:val="20"/>
        </w:rPr>
        <w:t>nestacionarno</w:t>
      </w:r>
      <w:proofErr w:type="spellEnd"/>
      <w:r w:rsidRPr="00D66CC4">
        <w:rPr>
          <w:rFonts w:cs="Tahoma"/>
          <w:sz w:val="20"/>
          <w:szCs w:val="20"/>
        </w:rPr>
        <w:t xml:space="preserve">, </w:t>
      </w:r>
      <w:proofErr w:type="spellStart"/>
      <w:r w:rsidRPr="00D66CC4">
        <w:rPr>
          <w:rFonts w:cs="Tahoma"/>
          <w:sz w:val="20"/>
          <w:szCs w:val="20"/>
        </w:rPr>
        <w:t>strujnica</w:t>
      </w:r>
      <w:proofErr w:type="spellEnd"/>
      <w:r w:rsidRPr="00D66CC4">
        <w:rPr>
          <w:rFonts w:cs="Tahoma"/>
          <w:sz w:val="20"/>
          <w:szCs w:val="20"/>
        </w:rPr>
        <w:t xml:space="preserve"> će u prostoru mijenjati svoj oblik i položaj.</w:t>
      </w:r>
    </w:p>
    <w:p w:rsidR="00EE2CA8" w:rsidRPr="00D66CC4" w:rsidRDefault="00EE2CA8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>Gibanje i deformacija čestica fluida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Za vrijeme gibanja mogu se s česticom fluida zbivati ove promjene: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 xml:space="preserve">a) može se gibati </w:t>
      </w:r>
      <w:proofErr w:type="spellStart"/>
      <w:r w:rsidRPr="00D66CC4">
        <w:rPr>
          <w:rFonts w:cs="Tahoma"/>
          <w:color w:val="000000"/>
          <w:sz w:val="20"/>
          <w:szCs w:val="20"/>
        </w:rPr>
        <w:t>translatorno</w:t>
      </w:r>
      <w:proofErr w:type="spellEnd"/>
      <w:r w:rsidRPr="00D66CC4">
        <w:rPr>
          <w:rFonts w:cs="Tahoma"/>
          <w:color w:val="000000"/>
          <w:sz w:val="20"/>
          <w:szCs w:val="20"/>
        </w:rPr>
        <w:t xml:space="preserve"> poput čestica čvrstog tijela;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b) može se okretati (rotirati) oko neke osi kao i čestica čvrstog tijela;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c) može se linearno istezati ili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>d) mijenjati svoj oblik mijenjajući pritom svoj volumen (obujam), ali nikako i nikada svoju masu:</w:t>
      </w:r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 xml:space="preserve">dm (čestice fluida) = dm=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ρdV</w:t>
      </w:r>
      <w:proofErr w:type="spellEnd"/>
      <w:r w:rsidRPr="00D66CC4">
        <w:rPr>
          <w:rFonts w:cs="Tahoma-Bold"/>
          <w:b/>
          <w:bCs/>
          <w:color w:val="000000"/>
          <w:sz w:val="20"/>
          <w:szCs w:val="20"/>
        </w:rPr>
        <w:t xml:space="preserve">= </w:t>
      </w:r>
      <w:proofErr w:type="spellStart"/>
      <w:r w:rsidRPr="00D66CC4">
        <w:rPr>
          <w:rFonts w:cs="Tahoma-Bold"/>
          <w:b/>
          <w:bCs/>
          <w:color w:val="000000"/>
          <w:sz w:val="20"/>
          <w:szCs w:val="20"/>
        </w:rPr>
        <w:t>konst</w:t>
      </w:r>
      <w:proofErr w:type="spellEnd"/>
    </w:p>
    <w:p w:rsidR="00FD70E9" w:rsidRPr="00D66CC4" w:rsidRDefault="00FD70E9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noProof/>
          <w:color w:val="000000"/>
          <w:sz w:val="20"/>
          <w:szCs w:val="20"/>
          <w:lang w:eastAsia="hr-HR"/>
        </w:rPr>
        <w:drawing>
          <wp:inline distT="0" distB="0" distL="0" distR="0">
            <wp:extent cx="2723262" cy="342900"/>
            <wp:effectExtent l="19050" t="0" r="8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62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47" w:rsidRPr="00D66CC4" w:rsidRDefault="00F20647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noProof/>
          <w:color w:val="000000"/>
          <w:sz w:val="20"/>
          <w:szCs w:val="20"/>
          <w:lang w:eastAsia="hr-HR"/>
        </w:rPr>
        <w:lastRenderedPageBreak/>
        <w:drawing>
          <wp:inline distT="0" distB="0" distL="0" distR="0">
            <wp:extent cx="2628900" cy="5441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47" w:rsidRPr="00D66CC4" w:rsidRDefault="00F20647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>To je osnovna jednadžba strujanja fluida</w:t>
      </w:r>
    </w:p>
    <w:p w:rsidR="00F20647" w:rsidRPr="00D66CC4" w:rsidRDefault="00F20647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noProof/>
          <w:color w:val="000000"/>
          <w:sz w:val="20"/>
          <w:szCs w:val="20"/>
          <w:lang w:eastAsia="hr-HR"/>
        </w:rPr>
        <w:drawing>
          <wp:inline distT="0" distB="0" distL="0" distR="0">
            <wp:extent cx="2405839" cy="18573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39" cy="186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47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noProof/>
          <w:color w:val="000000"/>
          <w:sz w:val="20"/>
          <w:szCs w:val="20"/>
          <w:lang w:eastAsia="hr-HR"/>
        </w:rPr>
        <w:drawing>
          <wp:inline distT="0" distB="0" distL="0" distR="0">
            <wp:extent cx="2968178" cy="1123950"/>
            <wp:effectExtent l="19050" t="0" r="36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78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AE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noProof/>
          <w:color w:val="000000"/>
          <w:sz w:val="20"/>
          <w:szCs w:val="20"/>
          <w:lang w:eastAsia="hr-HR"/>
        </w:rPr>
        <w:drawing>
          <wp:inline distT="0" distB="0" distL="0" distR="0">
            <wp:extent cx="3205514" cy="1562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80" cy="15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AE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proofErr w:type="spellStart"/>
      <w:r w:rsidRPr="00D66CC4">
        <w:rPr>
          <w:rFonts w:cs="Tahoma"/>
          <w:sz w:val="20"/>
          <w:szCs w:val="20"/>
        </w:rPr>
        <w:t>Bernoullijeva</w:t>
      </w:r>
      <w:proofErr w:type="spellEnd"/>
      <w:r w:rsidRPr="00D66CC4">
        <w:rPr>
          <w:rFonts w:cs="Tahoma"/>
          <w:sz w:val="20"/>
          <w:szCs w:val="20"/>
        </w:rPr>
        <w:t xml:space="preserve"> jednadžba</w:t>
      </w:r>
    </w:p>
    <w:p w:rsidR="00E86BAE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1457325" cy="473043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389" cy="47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6CC4">
        <w:rPr>
          <w:rFonts w:cs="Tahoma"/>
          <w:sz w:val="20"/>
          <w:szCs w:val="20"/>
        </w:rPr>
        <w:tab/>
      </w:r>
      <w:r w:rsidRPr="00D66CC4">
        <w:rPr>
          <w:rFonts w:cs="Tahoma"/>
          <w:sz w:val="20"/>
          <w:szCs w:val="20"/>
        </w:rPr>
        <w:tab/>
        <w:t xml:space="preserve"> </w:t>
      </w: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2723515" cy="50791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5" cy="50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AE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</w:p>
    <w:p w:rsidR="00E86BAE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</w:p>
    <w:p w:rsidR="00391580" w:rsidRPr="00D66CC4" w:rsidRDefault="00E86BAE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3254000" cy="2105025"/>
            <wp:effectExtent l="19050" t="0" r="35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12" cy="210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BAE" w:rsidRPr="00D66CC4" w:rsidRDefault="00391580" w:rsidP="00FD70E9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lastRenderedPageBreak/>
        <w:t xml:space="preserve"> </w:t>
      </w: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2676988" cy="1819275"/>
            <wp:effectExtent l="19050" t="0" r="90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88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80" w:rsidRPr="00D66CC4" w:rsidRDefault="00391580" w:rsidP="00391580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Jednadžba kontinuiteta izriče da je promjena mase u kontrolnom volumenu jednaka razlici </w:t>
      </w:r>
      <w:proofErr w:type="spellStart"/>
      <w:r w:rsidRPr="00D66CC4">
        <w:rPr>
          <w:rFonts w:cs="Tahoma"/>
          <w:sz w:val="20"/>
          <w:szCs w:val="20"/>
        </w:rPr>
        <w:t>masenog</w:t>
      </w:r>
      <w:proofErr w:type="spellEnd"/>
      <w:r w:rsidRPr="00D66CC4">
        <w:rPr>
          <w:rFonts w:cs="Tahoma"/>
          <w:sz w:val="20"/>
          <w:szCs w:val="20"/>
        </w:rPr>
        <w:t xml:space="preserve"> protoka koji je ušao i izašao iz kontrolnog volumena ili obrnuto.</w:t>
      </w:r>
    </w:p>
    <w:p w:rsidR="00391580" w:rsidRPr="00D66CC4" w:rsidRDefault="00391580" w:rsidP="00391580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2867025" cy="121955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1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80" w:rsidRPr="00D66CC4" w:rsidRDefault="00391580" w:rsidP="00391580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000000"/>
          <w:sz w:val="20"/>
          <w:szCs w:val="20"/>
        </w:rPr>
      </w:pPr>
      <w:r w:rsidRPr="00D66CC4">
        <w:rPr>
          <w:rFonts w:cs="Tahoma-Bold"/>
          <w:b/>
          <w:bCs/>
          <w:color w:val="000000"/>
          <w:sz w:val="20"/>
          <w:szCs w:val="20"/>
        </w:rPr>
        <w:t>razlika između količine mase koja je ušla u kontrolni volumen i količini mase koja je izašla iz kontrolnog volumena mora biti jednaka promjeni količine mase u</w:t>
      </w:r>
      <w:r w:rsidRPr="00D66CC4">
        <w:rPr>
          <w:rFonts w:cs="Arial Narrow"/>
          <w:color w:val="FFFFFF"/>
          <w:sz w:val="20"/>
          <w:szCs w:val="20"/>
        </w:rPr>
        <w:t xml:space="preserve"> </w:t>
      </w:r>
      <w:r w:rsidRPr="00D66CC4">
        <w:rPr>
          <w:rFonts w:cs="Tahoma-Bold"/>
          <w:b/>
          <w:bCs/>
          <w:color w:val="000000"/>
          <w:sz w:val="20"/>
          <w:szCs w:val="20"/>
        </w:rPr>
        <w:t>kontrolnom volumenu.</w:t>
      </w:r>
    </w:p>
    <w:p w:rsidR="00391580" w:rsidRPr="00D66CC4" w:rsidRDefault="00391580" w:rsidP="00391580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2934181" cy="1057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81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color w:val="33339B"/>
          <w:sz w:val="20"/>
          <w:szCs w:val="20"/>
        </w:rPr>
      </w:pPr>
      <w:r w:rsidRPr="00D66CC4">
        <w:rPr>
          <w:rFonts w:cs="Tahoma-Bold"/>
          <w:b/>
          <w:bCs/>
          <w:color w:val="33339B"/>
          <w:sz w:val="20"/>
          <w:szCs w:val="20"/>
        </w:rPr>
        <w:t>Uzgon ili potisak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0"/>
          <w:szCs w:val="20"/>
        </w:rPr>
      </w:pPr>
      <w:r w:rsidRPr="00D66CC4">
        <w:rPr>
          <w:rFonts w:cs="Tahoma"/>
          <w:color w:val="000000"/>
          <w:sz w:val="20"/>
          <w:szCs w:val="20"/>
        </w:rPr>
        <w:t xml:space="preserve">Uronjeno se tijelo u mirnom fluidu nalazi pod stalnim djelovanjem </w:t>
      </w:r>
      <w:proofErr w:type="spellStart"/>
      <w:r w:rsidRPr="00D66CC4">
        <w:rPr>
          <w:rFonts w:cs="Tahoma"/>
          <w:color w:val="000000"/>
          <w:sz w:val="20"/>
          <w:szCs w:val="20"/>
        </w:rPr>
        <w:t>hidrostatskog</w:t>
      </w:r>
      <w:proofErr w:type="spellEnd"/>
      <w:r w:rsidRPr="00D66CC4">
        <w:rPr>
          <w:rFonts w:cs="Tahoma"/>
          <w:color w:val="000000"/>
          <w:sz w:val="20"/>
          <w:szCs w:val="20"/>
        </w:rPr>
        <w:t xml:space="preserve"> tlaka sa svih strana. </w:t>
      </w:r>
      <w:proofErr w:type="spellStart"/>
      <w:r w:rsidRPr="00D66CC4">
        <w:rPr>
          <w:rFonts w:cs="Tahoma"/>
          <w:color w:val="000000"/>
          <w:sz w:val="20"/>
          <w:szCs w:val="20"/>
        </w:rPr>
        <w:t>Rezultantna</w:t>
      </w:r>
      <w:proofErr w:type="spellEnd"/>
      <w:r w:rsidRPr="00D66CC4">
        <w:rPr>
          <w:rFonts w:cs="Tahoma"/>
          <w:color w:val="000000"/>
          <w:sz w:val="20"/>
          <w:szCs w:val="20"/>
        </w:rPr>
        <w:t xml:space="preserve"> je međutim sila </w:t>
      </w:r>
      <w:proofErr w:type="spellStart"/>
      <w:r w:rsidRPr="00D66CC4">
        <w:rPr>
          <w:rFonts w:cs="Tahoma"/>
          <w:color w:val="000000"/>
          <w:sz w:val="20"/>
          <w:szCs w:val="20"/>
        </w:rPr>
        <w:t>hidrostatskog</w:t>
      </w:r>
      <w:proofErr w:type="spellEnd"/>
      <w:r w:rsidRPr="00D66CC4">
        <w:rPr>
          <w:rFonts w:cs="Tahoma"/>
          <w:color w:val="000000"/>
          <w:sz w:val="20"/>
          <w:szCs w:val="20"/>
        </w:rPr>
        <w:t xml:space="preserve"> tlaka, koja je rezultat sumarnog djelovanja elementarnih sila tlaka po površini tijela, usmjerena nasuprot sili teže, dakle nagore. Zbog toga se naziva (</w:t>
      </w:r>
      <w:proofErr w:type="spellStart"/>
      <w:r w:rsidRPr="00D66CC4">
        <w:rPr>
          <w:rFonts w:cs="Tahoma"/>
          <w:color w:val="000000"/>
          <w:sz w:val="20"/>
          <w:szCs w:val="20"/>
        </w:rPr>
        <w:t>hidrostatskim</w:t>
      </w:r>
      <w:proofErr w:type="spellEnd"/>
      <w:r w:rsidRPr="00D66CC4">
        <w:rPr>
          <w:rFonts w:cs="Tahoma"/>
          <w:color w:val="000000"/>
          <w:sz w:val="20"/>
          <w:szCs w:val="20"/>
        </w:rPr>
        <w:t xml:space="preserve">) </w:t>
      </w:r>
      <w:r w:rsidRPr="00D66CC4">
        <w:rPr>
          <w:rFonts w:cs="Tahoma-Bold"/>
          <w:b/>
          <w:bCs/>
          <w:color w:val="000000"/>
          <w:sz w:val="20"/>
          <w:szCs w:val="20"/>
        </w:rPr>
        <w:t>uzgonom ili potiskom</w:t>
      </w:r>
      <w:r w:rsidRPr="00D66CC4">
        <w:rPr>
          <w:rFonts w:cs="Tahoma"/>
          <w:color w:val="000000"/>
          <w:sz w:val="20"/>
          <w:szCs w:val="20"/>
        </w:rPr>
        <w:t>.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Dakle je uzgon (sila uzgona) usmjeren prema gore i jednak težini „istisnutog fluida“, </w:t>
      </w:r>
      <w:proofErr w:type="spellStart"/>
      <w:r w:rsidRPr="00D66CC4">
        <w:rPr>
          <w:rFonts w:cs="Tahoma"/>
          <w:sz w:val="20"/>
          <w:szCs w:val="20"/>
        </w:rPr>
        <w:t>tj</w:t>
      </w:r>
      <w:proofErr w:type="spellEnd"/>
      <w:r w:rsidRPr="00D66CC4">
        <w:rPr>
          <w:rFonts w:cs="Tahoma"/>
          <w:sz w:val="20"/>
          <w:szCs w:val="20"/>
        </w:rPr>
        <w:t>. težini fluida volumena jednakog volumenu uronjenog tijela  (Arhimedov zakon). Hvatište je uzgona u težištu istisnutog fluida (istisnine).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sz w:val="20"/>
          <w:szCs w:val="20"/>
        </w:rPr>
        <w:t xml:space="preserve">Zato će tijela ako je </w:t>
      </w:r>
      <w:proofErr w:type="spellStart"/>
      <w:r w:rsidRPr="00D66CC4">
        <w:rPr>
          <w:rFonts w:cs="Tahoma"/>
          <w:sz w:val="20"/>
          <w:szCs w:val="20"/>
        </w:rPr>
        <w:t>ρt</w:t>
      </w:r>
      <w:proofErr w:type="spellEnd"/>
      <w:r w:rsidRPr="00D66CC4">
        <w:rPr>
          <w:rFonts w:cs="Tahoma"/>
          <w:sz w:val="20"/>
          <w:szCs w:val="20"/>
        </w:rPr>
        <w:t xml:space="preserve"> &gt; ρ tonuti, </w:t>
      </w:r>
      <w:proofErr w:type="spellStart"/>
      <w:r w:rsidRPr="00D66CC4">
        <w:rPr>
          <w:rFonts w:cs="Tahoma"/>
          <w:sz w:val="20"/>
          <w:szCs w:val="20"/>
        </w:rPr>
        <w:t>ρt</w:t>
      </w:r>
      <w:proofErr w:type="spellEnd"/>
      <w:r w:rsidRPr="00D66CC4">
        <w:rPr>
          <w:rFonts w:cs="Tahoma"/>
          <w:sz w:val="20"/>
          <w:szCs w:val="20"/>
        </w:rPr>
        <w:t xml:space="preserve"> = ρ lebdjeti, a vrijedi li </w:t>
      </w:r>
      <w:proofErr w:type="spellStart"/>
      <w:r w:rsidRPr="00D66CC4">
        <w:rPr>
          <w:rFonts w:cs="Tahoma"/>
          <w:sz w:val="20"/>
          <w:szCs w:val="20"/>
        </w:rPr>
        <w:t>ρt</w:t>
      </w:r>
      <w:proofErr w:type="spellEnd"/>
      <w:r w:rsidRPr="00D66CC4">
        <w:rPr>
          <w:rFonts w:cs="Tahoma"/>
          <w:sz w:val="20"/>
          <w:szCs w:val="20"/>
        </w:rPr>
        <w:t xml:space="preserve"> &lt; ρ izranjati. To znači da će tijelo tako dugo tonuti ili će se dizati sve dok se gustoće ne izjednače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"/>
          <w:b/>
          <w:color w:val="7030A0"/>
          <w:sz w:val="20"/>
          <w:szCs w:val="20"/>
        </w:rPr>
      </w:pPr>
      <w:r w:rsidRPr="00D66CC4">
        <w:rPr>
          <w:rFonts w:cs="Tahoma"/>
          <w:b/>
          <w:color w:val="7030A0"/>
          <w:sz w:val="20"/>
          <w:szCs w:val="20"/>
        </w:rPr>
        <w:t>Arhimedov zakon: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-Bold"/>
          <w:b/>
          <w:bCs/>
          <w:sz w:val="20"/>
          <w:szCs w:val="20"/>
        </w:rPr>
      </w:pPr>
      <w:r w:rsidRPr="00D66CC4">
        <w:rPr>
          <w:rFonts w:cs="Tahoma-Bold"/>
          <w:b/>
          <w:bCs/>
          <w:sz w:val="20"/>
          <w:szCs w:val="20"/>
        </w:rPr>
        <w:t>„Svako tijelo uronjeno u kapljevinu gubi od svoje težine koliko važe istisnuta kapljevina“.</w:t>
      </w:r>
    </w:p>
    <w:p w:rsidR="0028775C" w:rsidRPr="00D66CC4" w:rsidRDefault="0028775C" w:rsidP="0028775C">
      <w:pPr>
        <w:autoSpaceDE w:val="0"/>
        <w:autoSpaceDN w:val="0"/>
        <w:adjustRightInd w:val="0"/>
        <w:spacing w:after="0" w:line="240" w:lineRule="auto"/>
        <w:rPr>
          <w:rFonts w:cs="Tahoma"/>
          <w:sz w:val="20"/>
          <w:szCs w:val="20"/>
        </w:rPr>
      </w:pPr>
      <w:r w:rsidRPr="00D66CC4">
        <w:rPr>
          <w:rFonts w:cs="Tahoma"/>
          <w:noProof/>
          <w:sz w:val="20"/>
          <w:szCs w:val="20"/>
          <w:lang w:eastAsia="hr-HR"/>
        </w:rPr>
        <w:drawing>
          <wp:inline distT="0" distB="0" distL="0" distR="0">
            <wp:extent cx="1619250" cy="32044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75C" w:rsidRPr="00D66CC4" w:rsidSect="002A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ahoma-Bold">
    <w:altName w:val="Arial Unicode MS"/>
    <w:panose1 w:val="00000000000000000000"/>
    <w:charset w:val="00"/>
    <w:family w:val="swiss"/>
    <w:notTrueType/>
    <w:pitch w:val="default"/>
    <w:sig w:usb0="00000007" w:usb1="08070000" w:usb2="00000010" w:usb3="00000000" w:csb0="0002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F50"/>
    <w:rsid w:val="000912BE"/>
    <w:rsid w:val="00101C27"/>
    <w:rsid w:val="0012671B"/>
    <w:rsid w:val="00243474"/>
    <w:rsid w:val="0028775C"/>
    <w:rsid w:val="002A7D43"/>
    <w:rsid w:val="00374D48"/>
    <w:rsid w:val="00391580"/>
    <w:rsid w:val="007C7316"/>
    <w:rsid w:val="008363FB"/>
    <w:rsid w:val="00AC75AA"/>
    <w:rsid w:val="00D36725"/>
    <w:rsid w:val="00D646DF"/>
    <w:rsid w:val="00D66CC4"/>
    <w:rsid w:val="00DF5AF0"/>
    <w:rsid w:val="00E86BAE"/>
    <w:rsid w:val="00EE2CA8"/>
    <w:rsid w:val="00EE7F50"/>
    <w:rsid w:val="00F20647"/>
    <w:rsid w:val="00FD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Gan_Deeva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</dc:creator>
  <cp:keywords/>
  <dc:description/>
  <cp:lastModifiedBy>Josip</cp:lastModifiedBy>
  <cp:revision>10</cp:revision>
  <dcterms:created xsi:type="dcterms:W3CDTF">2010-12-02T17:54:00Z</dcterms:created>
  <dcterms:modified xsi:type="dcterms:W3CDTF">2010-12-03T11:45:00Z</dcterms:modified>
</cp:coreProperties>
</file>