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089" w:rsidRPr="005F2286" w:rsidRDefault="00951089" w:rsidP="00951089">
      <w:pPr>
        <w:rPr>
          <w:sz w:val="28"/>
          <w:szCs w:val="28"/>
        </w:rPr>
      </w:pPr>
      <w:r w:rsidRPr="005F2286">
        <w:rPr>
          <w:sz w:val="28"/>
          <w:szCs w:val="28"/>
        </w:rPr>
        <w:t>Fakultet elektrotehnike i računarstva</w:t>
      </w:r>
    </w:p>
    <w:p w:rsidR="00951089" w:rsidRPr="005F2286" w:rsidRDefault="00951089" w:rsidP="00951089">
      <w:pPr>
        <w:rPr>
          <w:sz w:val="28"/>
          <w:szCs w:val="28"/>
        </w:rPr>
      </w:pPr>
      <w:r>
        <w:rPr>
          <w:sz w:val="28"/>
          <w:szCs w:val="28"/>
        </w:rPr>
        <w:t>Zavod za vis</w:t>
      </w:r>
      <w:r w:rsidRPr="005F2286">
        <w:rPr>
          <w:sz w:val="28"/>
          <w:szCs w:val="28"/>
        </w:rPr>
        <w:t>o</w:t>
      </w:r>
      <w:r>
        <w:rPr>
          <w:sz w:val="28"/>
          <w:szCs w:val="28"/>
        </w:rPr>
        <w:t>k</w:t>
      </w:r>
      <w:r w:rsidRPr="005F2286">
        <w:rPr>
          <w:sz w:val="28"/>
          <w:szCs w:val="28"/>
        </w:rPr>
        <w:t>i napon i energetiku</w:t>
      </w:r>
    </w:p>
    <w:p w:rsidR="00951089" w:rsidRPr="005F2286" w:rsidRDefault="00951089" w:rsidP="00951089">
      <w:pPr>
        <w:rPr>
          <w:sz w:val="28"/>
          <w:szCs w:val="28"/>
        </w:rPr>
      </w:pPr>
      <w:r w:rsidRPr="005F2286">
        <w:rPr>
          <w:sz w:val="28"/>
          <w:szCs w:val="28"/>
        </w:rPr>
        <w:t>Unska 3, Zagreb</w:t>
      </w:r>
    </w:p>
    <w:p w:rsidR="00951089" w:rsidRDefault="00951089" w:rsidP="00951089">
      <w:pPr>
        <w:rPr>
          <w:sz w:val="28"/>
          <w:szCs w:val="28"/>
        </w:rPr>
      </w:pPr>
    </w:p>
    <w:p w:rsidR="00951089" w:rsidRDefault="00951089" w:rsidP="00951089">
      <w:pPr>
        <w:rPr>
          <w:sz w:val="28"/>
          <w:szCs w:val="28"/>
        </w:rPr>
      </w:pPr>
    </w:p>
    <w:p w:rsidR="00951089" w:rsidRDefault="00951089" w:rsidP="00951089">
      <w:pPr>
        <w:rPr>
          <w:sz w:val="28"/>
          <w:szCs w:val="28"/>
        </w:rPr>
      </w:pPr>
    </w:p>
    <w:p w:rsidR="00951089" w:rsidRDefault="00951089" w:rsidP="00951089">
      <w:pPr>
        <w:rPr>
          <w:sz w:val="28"/>
          <w:szCs w:val="28"/>
        </w:rPr>
      </w:pPr>
    </w:p>
    <w:p w:rsidR="00951089" w:rsidRDefault="00951089" w:rsidP="00951089">
      <w:pPr>
        <w:rPr>
          <w:sz w:val="28"/>
          <w:szCs w:val="28"/>
        </w:rPr>
      </w:pPr>
    </w:p>
    <w:p w:rsidR="00951089" w:rsidRDefault="00951089" w:rsidP="00951089">
      <w:pPr>
        <w:rPr>
          <w:sz w:val="28"/>
          <w:szCs w:val="28"/>
        </w:rPr>
      </w:pPr>
    </w:p>
    <w:p w:rsidR="00951089" w:rsidRPr="005F2286" w:rsidRDefault="00951089" w:rsidP="00951089">
      <w:pPr>
        <w:rPr>
          <w:sz w:val="28"/>
          <w:szCs w:val="28"/>
        </w:rPr>
      </w:pPr>
    </w:p>
    <w:p w:rsidR="00951089" w:rsidRPr="005F2286" w:rsidRDefault="00951089" w:rsidP="00951089">
      <w:pPr>
        <w:rPr>
          <w:sz w:val="28"/>
          <w:szCs w:val="28"/>
        </w:rPr>
      </w:pPr>
    </w:p>
    <w:p w:rsidR="00951089" w:rsidRPr="005F2286" w:rsidRDefault="00951089" w:rsidP="00951089">
      <w:pPr>
        <w:jc w:val="center"/>
        <w:rPr>
          <w:sz w:val="40"/>
          <w:szCs w:val="40"/>
        </w:rPr>
      </w:pPr>
      <w:r w:rsidRPr="005F2286">
        <w:rPr>
          <w:sz w:val="40"/>
          <w:szCs w:val="40"/>
        </w:rPr>
        <w:t>Laboratorij elektroenergetike 1</w:t>
      </w:r>
    </w:p>
    <w:p w:rsidR="00951089" w:rsidRDefault="00951089" w:rsidP="00951089">
      <w:pPr>
        <w:rPr>
          <w:sz w:val="28"/>
          <w:szCs w:val="28"/>
        </w:rPr>
      </w:pPr>
      <w:r>
        <w:rPr>
          <w:sz w:val="28"/>
          <w:szCs w:val="28"/>
        </w:rPr>
        <w:t>Vježba 3</w:t>
      </w:r>
    </w:p>
    <w:p w:rsidR="00951089" w:rsidRPr="005F2286" w:rsidRDefault="00951089" w:rsidP="00951089">
      <w:pPr>
        <w:rPr>
          <w:sz w:val="28"/>
          <w:szCs w:val="28"/>
        </w:rPr>
      </w:pPr>
      <w:r>
        <w:rPr>
          <w:sz w:val="28"/>
          <w:szCs w:val="28"/>
        </w:rPr>
        <w:t>Mjerenje raspodjele potencijala</w:t>
      </w:r>
    </w:p>
    <w:p w:rsidR="00951089" w:rsidRDefault="00951089" w:rsidP="00951089">
      <w:pPr>
        <w:rPr>
          <w:sz w:val="28"/>
          <w:szCs w:val="28"/>
        </w:rPr>
      </w:pPr>
    </w:p>
    <w:p w:rsidR="00951089" w:rsidRDefault="00951089" w:rsidP="00951089">
      <w:pPr>
        <w:rPr>
          <w:sz w:val="28"/>
          <w:szCs w:val="28"/>
        </w:rPr>
      </w:pPr>
    </w:p>
    <w:p w:rsidR="00D4178D" w:rsidRDefault="00D4178D"/>
    <w:p w:rsidR="00951089" w:rsidRDefault="00951089"/>
    <w:p w:rsidR="00951089" w:rsidRDefault="00951089"/>
    <w:p w:rsidR="00951089" w:rsidRDefault="00951089"/>
    <w:p w:rsidR="00951089" w:rsidRDefault="00951089"/>
    <w:p w:rsidR="00951089" w:rsidRDefault="00951089"/>
    <w:p w:rsidR="00951089" w:rsidRDefault="00951089"/>
    <w:p w:rsidR="00951089" w:rsidRDefault="00951089"/>
    <w:p w:rsidR="00951089" w:rsidRDefault="00951089"/>
    <w:p w:rsidR="00951089" w:rsidRPr="003E04C5" w:rsidRDefault="00951089" w:rsidP="00951089">
      <w:pPr>
        <w:rPr>
          <w:sz w:val="32"/>
          <w:szCs w:val="32"/>
        </w:rPr>
      </w:pPr>
      <w:r w:rsidRPr="003E04C5">
        <w:rPr>
          <w:sz w:val="32"/>
          <w:szCs w:val="32"/>
        </w:rPr>
        <w:lastRenderedPageBreak/>
        <w:t>Uvod</w:t>
      </w:r>
    </w:p>
    <w:p w:rsidR="00DE1CBA" w:rsidRPr="003E04C5" w:rsidRDefault="00DE1CBA" w:rsidP="00DE1CBA">
      <w:pPr>
        <w:ind w:firstLine="708"/>
        <w:rPr>
          <w:sz w:val="24"/>
          <w:szCs w:val="24"/>
        </w:rPr>
      </w:pPr>
      <w:r w:rsidRPr="003E04C5">
        <w:rPr>
          <w:sz w:val="24"/>
          <w:szCs w:val="24"/>
        </w:rPr>
        <w:t>U uvjetima pojave kratkog spoja s istodobnim spojem sa zemljom (jednopolni ili dvopolni kratki spoj) pojavljuju se znatne struje u pripa</w:t>
      </w:r>
      <w:r>
        <w:rPr>
          <w:sz w:val="24"/>
          <w:szCs w:val="24"/>
        </w:rPr>
        <w:t>dnom sustavu uzemljenja i u zemlji. Pripadne</w:t>
      </w:r>
      <w:r w:rsidRPr="003E04C5">
        <w:rPr>
          <w:sz w:val="24"/>
          <w:szCs w:val="24"/>
        </w:rPr>
        <w:t xml:space="preserve"> struje tvore u okolini uzemljivača potencijalno polje, čija vrijednost opada s udaljenošću.</w:t>
      </w:r>
      <w:r>
        <w:rPr>
          <w:sz w:val="24"/>
          <w:szCs w:val="24"/>
        </w:rPr>
        <w:t xml:space="preserve"> Postoje dovoljno udaljena područja, gdje je potencijalno polje jednako nuli, koja se nazivaju referentnima odnosno neutralna zemlja.</w:t>
      </w:r>
    </w:p>
    <w:p w:rsidR="00951089" w:rsidRDefault="00951089" w:rsidP="00951089">
      <w:pPr>
        <w:rPr>
          <w:sz w:val="24"/>
          <w:szCs w:val="24"/>
        </w:rPr>
      </w:pPr>
      <w:r w:rsidRPr="003E04C5">
        <w:rPr>
          <w:sz w:val="24"/>
          <w:szCs w:val="24"/>
        </w:rPr>
        <w:tab/>
      </w:r>
      <w:r w:rsidR="00DE1CBA">
        <w:rPr>
          <w:sz w:val="24"/>
          <w:szCs w:val="24"/>
        </w:rPr>
        <w:t xml:space="preserve">Osim toga pojavljuju se </w:t>
      </w:r>
      <w:r>
        <w:rPr>
          <w:sz w:val="24"/>
          <w:szCs w:val="24"/>
        </w:rPr>
        <w:t xml:space="preserve"> </w:t>
      </w:r>
      <w:r w:rsidR="00DE1CBA">
        <w:rPr>
          <w:sz w:val="24"/>
          <w:szCs w:val="24"/>
        </w:rPr>
        <w:t>potencijalne razlike između raznih točaka uzemljivačkog sustava protjecanog strujom dozemnog kratkog spoja. Ova značajka je posebno primjetna kod složenih uzemljivačkih sustava koji redovito nisu simetrične ekvipotencijalne strukture. Proračun značajki uzemljivačkog sustava je vrlo složen, dok su mjerenja raspodjele potencijala ponekad djelomično neizvediva zbog nepovoljne konfiguracije terena.</w:t>
      </w:r>
    </w:p>
    <w:p w:rsidR="00DE1CBA" w:rsidRDefault="00DE1CBA" w:rsidP="00951089">
      <w:pPr>
        <w:rPr>
          <w:sz w:val="24"/>
          <w:szCs w:val="24"/>
        </w:rPr>
      </w:pPr>
    </w:p>
    <w:p w:rsidR="00951089" w:rsidRDefault="00951089" w:rsidP="00951089">
      <w:pPr>
        <w:rPr>
          <w:sz w:val="24"/>
          <w:szCs w:val="24"/>
        </w:rPr>
      </w:pPr>
      <w:r>
        <w:rPr>
          <w:sz w:val="24"/>
          <w:szCs w:val="24"/>
        </w:rPr>
        <w:tab/>
        <w:t>Osnovne značajke uzemljivačkog sustava bitne za njegovo zaštitno djelovanje su:</w:t>
      </w:r>
    </w:p>
    <w:p w:rsidR="00951089" w:rsidRPr="006E2EF1" w:rsidRDefault="00951089" w:rsidP="00951089">
      <w:pPr>
        <w:pStyle w:val="ListParagraph"/>
        <w:numPr>
          <w:ilvl w:val="0"/>
          <w:numId w:val="1"/>
        </w:numPr>
        <w:rPr>
          <w:sz w:val="24"/>
          <w:szCs w:val="24"/>
        </w:rPr>
      </w:pPr>
      <w:r w:rsidRPr="006E2EF1">
        <w:rPr>
          <w:sz w:val="24"/>
          <w:szCs w:val="24"/>
        </w:rPr>
        <w:t>otpor rasprostiranja uzemljivačkog sustava</w:t>
      </w:r>
    </w:p>
    <w:p w:rsidR="00951089" w:rsidRPr="006E2EF1" w:rsidRDefault="00951089" w:rsidP="00951089">
      <w:pPr>
        <w:pStyle w:val="ListParagraph"/>
        <w:numPr>
          <w:ilvl w:val="0"/>
          <w:numId w:val="1"/>
        </w:numPr>
        <w:rPr>
          <w:sz w:val="24"/>
          <w:szCs w:val="24"/>
        </w:rPr>
      </w:pPr>
      <w:r>
        <w:rPr>
          <w:sz w:val="24"/>
          <w:szCs w:val="24"/>
        </w:rPr>
        <w:t>o</w:t>
      </w:r>
      <w:r w:rsidRPr="006E2EF1">
        <w:rPr>
          <w:sz w:val="24"/>
          <w:szCs w:val="24"/>
        </w:rPr>
        <w:t>blik potencijalnog lijevka uzemljivača u odnosu na referentnu zemlju</w:t>
      </w:r>
    </w:p>
    <w:p w:rsidR="00951089" w:rsidRPr="006E2EF1" w:rsidRDefault="00951089" w:rsidP="00951089">
      <w:pPr>
        <w:pStyle w:val="ListParagraph"/>
        <w:numPr>
          <w:ilvl w:val="0"/>
          <w:numId w:val="1"/>
        </w:numPr>
        <w:rPr>
          <w:sz w:val="24"/>
          <w:szCs w:val="24"/>
        </w:rPr>
      </w:pPr>
      <w:r>
        <w:rPr>
          <w:sz w:val="24"/>
          <w:szCs w:val="24"/>
        </w:rPr>
        <w:t>n</w:t>
      </w:r>
      <w:r w:rsidRPr="006E2EF1">
        <w:rPr>
          <w:sz w:val="24"/>
          <w:szCs w:val="24"/>
        </w:rPr>
        <w:t>aponi dodira i naponi koraka tijekom trajanja dozemnog kratkog spoja</w:t>
      </w:r>
    </w:p>
    <w:p w:rsidR="00951089" w:rsidRDefault="00951089" w:rsidP="00951089">
      <w:pPr>
        <w:rPr>
          <w:sz w:val="24"/>
          <w:szCs w:val="24"/>
        </w:rPr>
      </w:pPr>
    </w:p>
    <w:p w:rsidR="00951089" w:rsidRDefault="00DE1CBA">
      <w:pPr>
        <w:rPr>
          <w:sz w:val="24"/>
          <w:szCs w:val="24"/>
        </w:rPr>
      </w:pPr>
      <w:r>
        <w:rPr>
          <w:sz w:val="24"/>
          <w:szCs w:val="24"/>
        </w:rPr>
        <w:t>Zadatak mjerenja u laboratorijskoj vježbi je utvrđivanje otpora rasprostiranja uzemljivača i njegov potencijal u odnosu na referentnu zemlju te utvrđivanje raspodjele potencijala na površini tla iznad uzemljivača. Isto tako mjerenjima je potrebno ustanoviti razlike potencijala između pojedinih dijelova uzemljivačkog sustava.</w:t>
      </w:r>
    </w:p>
    <w:p w:rsidR="00DE1CBA" w:rsidRDefault="00DE1CBA">
      <w:pPr>
        <w:rPr>
          <w:sz w:val="24"/>
          <w:szCs w:val="24"/>
        </w:rPr>
      </w:pPr>
      <w:r>
        <w:rPr>
          <w:sz w:val="24"/>
          <w:szCs w:val="24"/>
        </w:rPr>
        <w:t xml:space="preserve">Utvrđivanje značajki ispitivanog uzemljivača provedeno je primjenom U-I metode. Utisnuta je struja u analizirani uzemljivač, čime je predstavljena simulacija stvarnog dozemnog kratkog spoja. Ovakav način ne predstavlja opasnost za sigurnost </w:t>
      </w:r>
      <w:r w:rsidR="00BA29DB">
        <w:rPr>
          <w:sz w:val="24"/>
          <w:szCs w:val="24"/>
        </w:rPr>
        <w:t>sustava te ne zahtijeva prekid pogona u postrojenju.</w:t>
      </w:r>
    </w:p>
    <w:p w:rsidR="00BA29DB" w:rsidRDefault="00BA29DB">
      <w:pPr>
        <w:rPr>
          <w:sz w:val="24"/>
          <w:szCs w:val="24"/>
        </w:rPr>
      </w:pPr>
      <w:r>
        <w:rPr>
          <w:sz w:val="24"/>
          <w:szCs w:val="24"/>
        </w:rPr>
        <w:t>Cilj mjerenja je bilo utvrđivanje stanja ispitnog uzemljivača ukopanog ispod zelene površine sjeverno od D zgrade i zapadno od B zgrade FER-a.</w:t>
      </w:r>
    </w:p>
    <w:p w:rsidR="00BA29DB" w:rsidRDefault="00BA29DB">
      <w:pPr>
        <w:rPr>
          <w:sz w:val="24"/>
          <w:szCs w:val="24"/>
        </w:rPr>
      </w:pPr>
    </w:p>
    <w:p w:rsidR="00BA29DB" w:rsidRDefault="00BA29DB">
      <w:pPr>
        <w:rPr>
          <w:sz w:val="24"/>
          <w:szCs w:val="24"/>
        </w:rPr>
      </w:pPr>
    </w:p>
    <w:p w:rsidR="00BA29DB" w:rsidRDefault="00BA29DB">
      <w:pPr>
        <w:rPr>
          <w:sz w:val="24"/>
          <w:szCs w:val="24"/>
        </w:rPr>
      </w:pPr>
    </w:p>
    <w:p w:rsidR="00BA29DB" w:rsidRDefault="00BA29DB">
      <w:pPr>
        <w:rPr>
          <w:sz w:val="24"/>
          <w:szCs w:val="24"/>
        </w:rPr>
      </w:pPr>
    </w:p>
    <w:p w:rsidR="00BA29DB" w:rsidRDefault="00BA29DB">
      <w:pPr>
        <w:rPr>
          <w:sz w:val="24"/>
          <w:szCs w:val="24"/>
        </w:rPr>
      </w:pPr>
    </w:p>
    <w:p w:rsidR="00BA29DB" w:rsidRDefault="00BA29DB">
      <w:pPr>
        <w:rPr>
          <w:sz w:val="32"/>
          <w:szCs w:val="32"/>
        </w:rPr>
      </w:pPr>
      <w:r>
        <w:rPr>
          <w:sz w:val="32"/>
          <w:szCs w:val="32"/>
        </w:rPr>
        <w:lastRenderedPageBreak/>
        <w:t>Opis mjerne metode</w:t>
      </w:r>
    </w:p>
    <w:p w:rsidR="00BA29DB" w:rsidRDefault="00BA29DB">
      <w:r>
        <w:t>Mjerenje značajki uzemljivačkog sustava  redovito se izvodi pomoću U-I metode, korištenjem izvora nazivne frekvencije 50 Hz. Načelna shema prikazana je na slici 1.</w:t>
      </w:r>
    </w:p>
    <w:p w:rsidR="00BA29DB" w:rsidRDefault="00BA29DB">
      <w:r>
        <w:t>Primjenom navedene metode mogu se odrediti otpor rasprostiranja velikih uzemljivačkih sustava, raspodjela potencijala u okolici uzemljivača , te izmjeriti naponi koraka i dodira.</w:t>
      </w:r>
    </w:p>
    <w:p w:rsidR="00104BBA" w:rsidRDefault="00104BBA"/>
    <w:p w:rsidR="00104BBA" w:rsidRDefault="00104BBA" w:rsidP="00104BBA">
      <w:pPr>
        <w:jc w:val="center"/>
      </w:pPr>
      <w:r>
        <w:rPr>
          <w:noProof/>
          <w:lang w:eastAsia="hr-HR"/>
        </w:rPr>
        <w:drawing>
          <wp:inline distT="0" distB="0" distL="0" distR="0">
            <wp:extent cx="5562600" cy="3200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562600" cy="3200400"/>
                    </a:xfrm>
                    <a:prstGeom prst="rect">
                      <a:avLst/>
                    </a:prstGeom>
                    <a:noFill/>
                    <a:ln w="9525">
                      <a:noFill/>
                      <a:miter lim="800000"/>
                      <a:headEnd/>
                      <a:tailEnd/>
                    </a:ln>
                  </pic:spPr>
                </pic:pic>
              </a:graphicData>
            </a:graphic>
          </wp:inline>
        </w:drawing>
      </w:r>
    </w:p>
    <w:p w:rsidR="00BA29DB" w:rsidRDefault="00BA29DB" w:rsidP="00104BBA">
      <w:pPr>
        <w:pStyle w:val="Caption"/>
        <w:jc w:val="center"/>
      </w:pPr>
      <w:r>
        <w:t xml:space="preserve">Slika </w:t>
      </w:r>
      <w:fldSimple w:instr=" SEQ Slika \* ARABIC ">
        <w:r w:rsidR="00ED6B70">
          <w:rPr>
            <w:noProof/>
          </w:rPr>
          <w:t>1</w:t>
        </w:r>
      </w:fldSimple>
      <w:r>
        <w:t xml:space="preserve">. </w:t>
      </w:r>
      <w:r w:rsidR="00104BBA">
        <w:t xml:space="preserve"> Mjerenje otpora rasprostiranja i raspodjele potencijala U-I metodom</w:t>
      </w:r>
    </w:p>
    <w:p w:rsidR="00104BBA" w:rsidRDefault="00104BBA" w:rsidP="00104BBA"/>
    <w:p w:rsidR="00104BBA" w:rsidRDefault="00104BBA" w:rsidP="00104BBA">
      <w:r>
        <w:rPr>
          <w:b/>
        </w:rPr>
        <w:t>A</w:t>
      </w:r>
      <w:r>
        <w:tab/>
        <w:t>mjereni uzemljivač( glavni uzemjivač, koji je predmet mjerenja)</w:t>
      </w:r>
    </w:p>
    <w:p w:rsidR="00104BBA" w:rsidRDefault="00104BBA" w:rsidP="00104BBA">
      <w:r>
        <w:t>B</w:t>
      </w:r>
      <w:r>
        <w:tab/>
        <w:t>pomoćni uzemljivač( strujna sonda)</w:t>
      </w:r>
    </w:p>
    <w:p w:rsidR="00104BBA" w:rsidRDefault="00104BBA" w:rsidP="00104BBA">
      <w:r w:rsidRPr="00104BBA">
        <w:rPr>
          <w:b/>
        </w:rPr>
        <w:t>C</w:t>
      </w:r>
      <w:r>
        <w:tab/>
        <w:t>naponska sonda</w:t>
      </w:r>
    </w:p>
    <w:p w:rsidR="00104BBA" w:rsidRDefault="00104BBA" w:rsidP="00104BBA">
      <w:r w:rsidRPr="00104BBA">
        <w:rPr>
          <w:b/>
        </w:rPr>
        <w:t>R</w:t>
      </w:r>
      <w:r>
        <w:tab/>
        <w:t>promjenjivi otpornik za ograničenje struje simuliranog kratkog spoja</w:t>
      </w:r>
    </w:p>
    <w:p w:rsidR="00104BBA" w:rsidRDefault="00104BBA" w:rsidP="00104BBA"/>
    <w:p w:rsidR="00104BBA" w:rsidRDefault="00104BBA" w:rsidP="00104BBA">
      <w:r>
        <w:t xml:space="preserve"> </w:t>
      </w:r>
    </w:p>
    <w:p w:rsidR="00104BBA" w:rsidRDefault="00104BBA" w:rsidP="00104BBA">
      <w:r>
        <w:t>Pri tome se ostvareni strujni krug sastoji od tzv. strujnog voda, kojeg tvori izolirana galvanska veza koja spaja mjereni i pomoćni uzemljivač, te zemlje između uzemljivača.</w:t>
      </w:r>
    </w:p>
    <w:p w:rsidR="00737CC2" w:rsidRDefault="00737CC2" w:rsidP="00104BBA">
      <w:r>
        <w:t>Z a ovu je metodu važna udaljenost između uzemljivača , korektna provedba snimanja raspodjele potencijala traži da udaljenost među navedenim uzemljivačima bude najmanje 2.5 puta veća od najdulje dimenzije mjerenog uzemljivača.</w:t>
      </w:r>
    </w:p>
    <w:p w:rsidR="00737CC2" w:rsidRDefault="00737CC2" w:rsidP="00104BBA">
      <w:r>
        <w:lastRenderedPageBreak/>
        <w:t xml:space="preserve">U provedenom pokusu između mjerenog i pomoćnog uzemljivača </w:t>
      </w:r>
      <w:r w:rsidR="00A1442D">
        <w:t>narinut je napon iznosa 60 V</w:t>
      </w:r>
      <w:r>
        <w:t xml:space="preserve">. Pomoću voltmetra velikog ulaznog otpora mjeren je pad napona između uzemljivača koji je predmet mjerenja( uzemljivač </w:t>
      </w:r>
      <w:r>
        <w:rPr>
          <w:b/>
        </w:rPr>
        <w:t>A</w:t>
      </w:r>
      <w:r>
        <w:t>) i naponske sonde(</w:t>
      </w:r>
      <w:r>
        <w:rPr>
          <w:b/>
        </w:rPr>
        <w:t>C</w:t>
      </w:r>
      <w:r>
        <w:t>), koja je naponskim vodom vezana s uzemljivačem.</w:t>
      </w:r>
    </w:p>
    <w:p w:rsidR="00737CC2" w:rsidRDefault="008B1CDF" w:rsidP="00104BBA">
      <w:r>
        <w:t xml:space="preserve">Udaljavanjem naponske </w:t>
      </w:r>
      <w:r w:rsidR="00A1442D">
        <w:t>sonde od mjerenog područja dolazi</w:t>
      </w:r>
      <w:r>
        <w:t xml:space="preserve"> se do područja u kojem se daljnim pomicanjem naponske sonde n</w:t>
      </w:r>
      <w:r w:rsidR="00A1442D">
        <w:t>e mijenja</w:t>
      </w:r>
      <w:r>
        <w:t xml:space="preserve"> </w:t>
      </w:r>
      <w:r w:rsidR="00A1442D">
        <w:t>vrijednost napona kojeg pokazuje voltmetar. Područje u kojem se tada nalazi naponska sonda naziva se neutralna odnosno referentna zemlja, a izmjereni napon je jednak potencijalu mjernog uzemljivača za danu struju. U provedenom pokusu iznosa 60 V.</w:t>
      </w:r>
    </w:p>
    <w:p w:rsidR="00A1442D" w:rsidRDefault="00A1442D" w:rsidP="00104BBA">
      <w:r>
        <w:t xml:space="preserve">Pri stvarnim mjerenjima koristi se napon iznosa 400/230 V, kao strujni vod koristi se neki od raspoloživih dalekovoda, koji se uzemlji u susjednom postrojenju čiji se uzemljivač onda koristi kao pomoćni uzemljivač. Dovoljna struja za provedbu mjerenja postiže se ako je omjer stvarne struje kratkog spoja i simulirane </w:t>
      </w:r>
      <w:r w:rsidR="00404CD2">
        <w:t>struje manji od 100.</w:t>
      </w:r>
    </w:p>
    <w:p w:rsidR="00404CD2" w:rsidRDefault="00404CD2" w:rsidP="00104BBA">
      <w:r>
        <w:t>Otpor rasprostiranja uzemljivača računa se prema izrazu:</w:t>
      </w:r>
    </w:p>
    <w:p w:rsidR="00404CD2" w:rsidRPr="00CC3916" w:rsidRDefault="00CC3916" w:rsidP="00104BBA">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Zmax</m:t>
                  </m:r>
                </m:sub>
              </m:sSub>
            </m:num>
            <m:den>
              <m:sSub>
                <m:sSubPr>
                  <m:ctrlPr>
                    <w:rPr>
                      <w:rFonts w:ascii="Cambria Math" w:hAnsi="Cambria Math"/>
                      <w:i/>
                    </w:rPr>
                  </m:ctrlPr>
                </m:sSubPr>
                <m:e>
                  <m:r>
                    <w:rPr>
                      <w:rFonts w:ascii="Cambria Math" w:hAnsi="Cambria Math"/>
                    </w:rPr>
                    <m:t>I</m:t>
                  </m:r>
                </m:e>
                <m:sub>
                  <m:r>
                    <w:rPr>
                      <w:rFonts w:ascii="Cambria Math" w:hAnsi="Cambria Math"/>
                    </w:rPr>
                    <m:t>mj</m:t>
                  </m:r>
                </m:sub>
              </m:sSub>
            </m:den>
          </m:f>
          <m:r>
            <w:rPr>
              <w:rFonts w:ascii="Cambria Math" w:hAnsi="Cambria Math"/>
            </w:rPr>
            <m:t xml:space="preserve"> </m:t>
          </m:r>
          <m:d>
            <m:dPr>
              <m:begChr m:val="["/>
              <m:endChr m:val="]"/>
              <m:ctrlPr>
                <w:rPr>
                  <w:rFonts w:ascii="Cambria Math" w:hAnsi="Cambria Math"/>
                  <w:i/>
                </w:rPr>
              </m:ctrlPr>
            </m:dPr>
            <m:e>
              <m:r>
                <w:rPr>
                  <w:rFonts w:ascii="Cambria Math" w:hAnsi="Cambria Math"/>
                </w:rPr>
                <m:t>Ω</m:t>
              </m:r>
            </m:e>
          </m:d>
        </m:oMath>
      </m:oMathPara>
    </w:p>
    <w:p w:rsidR="00CC3916" w:rsidRDefault="00CC3916" w:rsidP="00104BBA">
      <w:pPr>
        <w:rPr>
          <w:rFonts w:eastAsiaTheme="minorEastAsia"/>
        </w:rPr>
      </w:pPr>
      <w:r>
        <w:rPr>
          <w:rFonts w:eastAsiaTheme="minorEastAsia"/>
        </w:rPr>
        <w:t>gdje je:</w:t>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U</m:t>
            </m:r>
          </m:e>
          <m:sub>
            <m:r>
              <w:rPr>
                <w:rFonts w:ascii="Cambria Math" w:hAnsi="Cambria Math"/>
              </w:rPr>
              <m:t>Zmax</m:t>
            </m:r>
          </m:sub>
        </m:sSub>
      </m:oMath>
      <w:r>
        <w:rPr>
          <w:rFonts w:eastAsiaTheme="minorEastAsia"/>
        </w:rPr>
        <w:t xml:space="preserve">   najveći izmjereni napon uzemljivača prema referentnoj zemlji [V]</w:t>
      </w:r>
    </w:p>
    <w:p w:rsidR="00CC3916" w:rsidRDefault="00CC3916" w:rsidP="00104BBA">
      <w:p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mj</m:t>
            </m:r>
          </m:sub>
        </m:sSub>
      </m:oMath>
      <w:r>
        <w:rPr>
          <w:rFonts w:eastAsiaTheme="minorEastAsia"/>
        </w:rPr>
        <w:t xml:space="preserve">         „utisnuta“ struja u uzemljivač [A]</w:t>
      </w:r>
    </w:p>
    <w:p w:rsidR="00CC3916" w:rsidRDefault="00CC3916" w:rsidP="00104BBA">
      <w:pPr>
        <w:rPr>
          <w:rFonts w:eastAsiaTheme="minorEastAsia"/>
        </w:rPr>
      </w:pPr>
    </w:p>
    <w:p w:rsidR="00CC3916" w:rsidRDefault="00CC3916" w:rsidP="00104BBA">
      <w:pPr>
        <w:rPr>
          <w:rFonts w:eastAsiaTheme="minorEastAsia"/>
        </w:rPr>
      </w:pPr>
      <w:r>
        <w:rPr>
          <w:rFonts w:eastAsiaTheme="minorEastAsia"/>
        </w:rPr>
        <w:t>Potencijal uzemljivača prema referentnoj zemlji za vrijeme trajanja kratkog spoja računa se prema izrazu:</w:t>
      </w:r>
    </w:p>
    <w:p w:rsidR="00CC3916" w:rsidRDefault="00CC3916" w:rsidP="00104BB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100%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mj</m:t>
              </m:r>
            </m:sub>
          </m:sSub>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Z</m:t>
                  </m:r>
                </m:sub>
              </m:sSub>
            </m:num>
            <m:den>
              <m:sSub>
                <m:sSubPr>
                  <m:ctrlPr>
                    <w:rPr>
                      <w:rFonts w:ascii="Cambria Math" w:hAnsi="Cambria Math"/>
                      <w:i/>
                    </w:rPr>
                  </m:ctrlPr>
                </m:sSubPr>
                <m:e>
                  <m:r>
                    <w:rPr>
                      <w:rFonts w:ascii="Cambria Math" w:hAnsi="Cambria Math"/>
                    </w:rPr>
                    <m:t>I</m:t>
                  </m:r>
                </m:e>
                <m:sub>
                  <m:r>
                    <w:rPr>
                      <w:rFonts w:ascii="Cambria Math" w:hAnsi="Cambria Math"/>
                    </w:rPr>
                    <m:t>mj</m:t>
                  </m:r>
                </m:sub>
              </m:sSub>
            </m:den>
          </m:f>
        </m:oMath>
      </m:oMathPara>
    </w:p>
    <w:p w:rsidR="00CC3916" w:rsidRDefault="00CC3916" w:rsidP="00104BBA">
      <w:pPr>
        <w:rPr>
          <w:rFonts w:eastAsiaTheme="minorEastAsia"/>
        </w:rPr>
      </w:pPr>
      <w:r>
        <w:rPr>
          <w:rFonts w:eastAsiaTheme="minorEastAsia"/>
        </w:rPr>
        <w:t>gdje je:</w:t>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I</m:t>
            </m:r>
          </m:e>
          <m:sub>
            <m:r>
              <w:rPr>
                <w:rFonts w:ascii="Cambria Math" w:hAnsi="Cambria Math"/>
              </w:rPr>
              <m:t>Z</m:t>
            </m:r>
          </m:sub>
        </m:sSub>
      </m:oMath>
      <w:r>
        <w:rPr>
          <w:rFonts w:eastAsiaTheme="minorEastAsia"/>
        </w:rPr>
        <w:t xml:space="preserve">            dio struje jednopolnog kratkog spoja koji se zatvara preko otpora uzemljenja</w:t>
      </w:r>
    </w:p>
    <w:p w:rsidR="00CC3916" w:rsidRDefault="00CC3916" w:rsidP="00104BBA">
      <w:pPr>
        <w:rPr>
          <w:rFonts w:eastAsiaTheme="minorEastAsia"/>
        </w:rPr>
      </w:pPr>
      <w:r>
        <w:rPr>
          <w:rFonts w:eastAsiaTheme="minorEastAsia"/>
        </w:rPr>
        <w:tab/>
      </w:r>
      <w:r>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mj</m:t>
            </m:r>
          </m:sub>
        </m:sSub>
      </m:oMath>
      <w:r>
        <w:rPr>
          <w:rFonts w:eastAsiaTheme="minorEastAsia"/>
        </w:rPr>
        <w:tab/>
        <w:t xml:space="preserve"> mjereni napon u pojedinoj točki </w:t>
      </w:r>
    </w:p>
    <w:p w:rsidR="00CC3916" w:rsidRDefault="00CC3916" w:rsidP="00104BBA">
      <w:pPr>
        <w:rPr>
          <w:rFonts w:eastAsiaTheme="minorEastAsia"/>
        </w:rPr>
      </w:pPr>
      <w:r>
        <w:rPr>
          <w:rFonts w:eastAsiaTheme="minorEastAsia"/>
        </w:rPr>
        <w:t xml:space="preserve">   </w:t>
      </w:r>
      <w:r w:rsidR="00812883">
        <w:rPr>
          <w:rFonts w:eastAsiaTheme="minorEastAsia"/>
        </w:rPr>
        <w:t>Kao izvor napajanja simuliranog jednopolnog kvara prilikom izvođenja vježbe korištena je NN mreža fakulteta. Mjernim produžnim kabelom spojen je preko automatskih osigurača, kojima je uključivao mjerni strujni krug, izolacijskog transformatora te autotransformatora</w:t>
      </w:r>
      <w:r w:rsidR="003300AE">
        <w:rPr>
          <w:rFonts w:eastAsiaTheme="minorEastAsia"/>
        </w:rPr>
        <w:t xml:space="preserve"> 220/60 V na vodič koji je predstavljao pomoćni dalekovod. </w:t>
      </w:r>
    </w:p>
    <w:p w:rsidR="003300AE" w:rsidRDefault="003300AE" w:rsidP="00104BBA">
      <w:pPr>
        <w:rPr>
          <w:rFonts w:eastAsiaTheme="minorEastAsia"/>
        </w:rPr>
      </w:pPr>
      <w:r>
        <w:rPr>
          <w:rFonts w:eastAsiaTheme="minorEastAsia"/>
        </w:rPr>
        <w:t xml:space="preserve">Zbog iznosa struje koji je </w:t>
      </w:r>
      <w:r w:rsidR="00ED6B70">
        <w:rPr>
          <w:rFonts w:eastAsiaTheme="minorEastAsia"/>
        </w:rPr>
        <w:t>„</w:t>
      </w:r>
      <w:r>
        <w:rPr>
          <w:rFonts w:eastAsiaTheme="minorEastAsia"/>
        </w:rPr>
        <w:t>utiskivan</w:t>
      </w:r>
      <w:r w:rsidR="00ED6B70">
        <w:rPr>
          <w:rFonts w:eastAsiaTheme="minorEastAsia"/>
        </w:rPr>
        <w:t>“</w:t>
      </w:r>
      <w:r>
        <w:rPr>
          <w:rFonts w:eastAsiaTheme="minorEastAsia"/>
        </w:rPr>
        <w:t xml:space="preserve"> u zemlju tijekom mjerenja nije bila neophopdna regulacija struje otpornikom, a korišten je fazni napon. Kao pomoćni uzemljivač korišten je uzemljivački sustav fakulteta.</w:t>
      </w:r>
    </w:p>
    <w:p w:rsidR="003300AE" w:rsidRDefault="003300AE" w:rsidP="00104BBA">
      <w:pPr>
        <w:rPr>
          <w:rFonts w:eastAsiaTheme="minorEastAsia"/>
        </w:rPr>
      </w:pPr>
      <w:r>
        <w:rPr>
          <w:rFonts w:eastAsiaTheme="minorEastAsia"/>
        </w:rPr>
        <w:t>Tijekom mjerenja bilo je oblačno vrijeme, a tlo umjereno vlažno.</w:t>
      </w:r>
    </w:p>
    <w:p w:rsidR="003300AE" w:rsidRDefault="003300AE" w:rsidP="00104BBA">
      <w:pPr>
        <w:rPr>
          <w:rFonts w:eastAsiaTheme="minorEastAsia"/>
        </w:rPr>
      </w:pPr>
    </w:p>
    <w:p w:rsidR="003300AE" w:rsidRDefault="003300AE" w:rsidP="00104BBA">
      <w:pPr>
        <w:rPr>
          <w:rFonts w:eastAsiaTheme="minorEastAsia"/>
        </w:rPr>
      </w:pPr>
    </w:p>
    <w:p w:rsidR="003300AE" w:rsidRDefault="003300AE" w:rsidP="00104BBA">
      <w:pPr>
        <w:rPr>
          <w:rFonts w:eastAsiaTheme="minorEastAsia"/>
        </w:rPr>
      </w:pPr>
    </w:p>
    <w:p w:rsidR="003300AE" w:rsidRDefault="003300AE" w:rsidP="00104BBA">
      <w:pPr>
        <w:rPr>
          <w:sz w:val="32"/>
          <w:szCs w:val="32"/>
        </w:rPr>
      </w:pPr>
      <w:r>
        <w:rPr>
          <w:sz w:val="32"/>
          <w:szCs w:val="32"/>
        </w:rPr>
        <w:lastRenderedPageBreak/>
        <w:t>Rezultati</w:t>
      </w:r>
    </w:p>
    <w:p w:rsidR="003300AE" w:rsidRDefault="003300AE" w:rsidP="00104BBA">
      <w:pPr>
        <w:rPr>
          <w:rFonts w:eastAsiaTheme="minorEastAsia"/>
        </w:rPr>
      </w:pPr>
      <w:r>
        <w:rPr>
          <w:rFonts w:eastAsiaTheme="minorEastAsia"/>
        </w:rPr>
        <w:t xml:space="preserve">U zemlju je </w:t>
      </w:r>
      <w:r w:rsidR="00ED6B70">
        <w:rPr>
          <w:rFonts w:eastAsiaTheme="minorEastAsia"/>
        </w:rPr>
        <w:t>„</w:t>
      </w:r>
      <w:r>
        <w:rPr>
          <w:rFonts w:eastAsiaTheme="minorEastAsia"/>
        </w:rPr>
        <w:t>utiskivan</w:t>
      </w:r>
      <w:r w:rsidR="00ED6B70">
        <w:rPr>
          <w:rFonts w:eastAsiaTheme="minorEastAsia"/>
        </w:rPr>
        <w:t>“</w:t>
      </w:r>
      <w:r>
        <w:rPr>
          <w:rFonts w:eastAsiaTheme="minorEastAsia"/>
        </w:rPr>
        <w:t xml:space="preserve"> iznos struje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mj</m:t>
            </m:r>
          </m:sub>
        </m:sSub>
        <m:r>
          <w:rPr>
            <w:rFonts w:ascii="Cambria Math" w:eastAsiaTheme="minorEastAsia" w:hAnsi="Cambria Math"/>
          </w:rPr>
          <m:t>=1.2 A</m:t>
        </m:r>
      </m:oMath>
      <w:r>
        <w:rPr>
          <w:rFonts w:eastAsiaTheme="minorEastAsia"/>
        </w:rPr>
        <w:t>. Mjerenja su izvršena u tri pravca sa pripadnim udaljenostima naponske sonde od uzemljivača.</w:t>
      </w:r>
    </w:p>
    <w:p w:rsidR="00ED6B70" w:rsidRDefault="00ED6B70" w:rsidP="00104BBA">
      <w:pPr>
        <w:rPr>
          <w:rFonts w:eastAsiaTheme="minorEastAsia"/>
        </w:rPr>
      </w:pPr>
    </w:p>
    <w:tbl>
      <w:tblPr>
        <w:tblStyle w:val="TableGrid"/>
        <w:tblW w:w="0" w:type="auto"/>
        <w:jc w:val="center"/>
        <w:tblLook w:val="04A0"/>
      </w:tblPr>
      <w:tblGrid>
        <w:gridCol w:w="1857"/>
        <w:gridCol w:w="1857"/>
        <w:gridCol w:w="1858"/>
        <w:gridCol w:w="1858"/>
      </w:tblGrid>
      <w:tr w:rsidR="00341805" w:rsidTr="00341805">
        <w:trPr>
          <w:jc w:val="center"/>
        </w:trPr>
        <w:tc>
          <w:tcPr>
            <w:tcW w:w="1857" w:type="dxa"/>
          </w:tcPr>
          <w:p w:rsidR="00341805" w:rsidRDefault="00341805" w:rsidP="00104BBA">
            <w:pPr>
              <w:rPr>
                <w:rFonts w:eastAsiaTheme="minorEastAsia"/>
              </w:rPr>
            </w:pPr>
          </w:p>
        </w:tc>
        <w:tc>
          <w:tcPr>
            <w:tcW w:w="5573" w:type="dxa"/>
            <w:gridSpan w:val="3"/>
          </w:tcPr>
          <w:p w:rsidR="00341805" w:rsidRDefault="00ED6B70" w:rsidP="00341805">
            <w:pPr>
              <w:jc w:val="center"/>
              <w:rPr>
                <w:rFonts w:eastAsiaTheme="minorEastAsia"/>
              </w:rPr>
            </w:pPr>
            <w:r>
              <w:rPr>
                <w:rFonts w:eastAsiaTheme="minorEastAsia"/>
              </w:rPr>
              <w:t>Napon</w:t>
            </w:r>
            <w:r w:rsidR="00341805">
              <w:rPr>
                <w:rFonts w:eastAsiaTheme="minorEastAsia"/>
              </w:rPr>
              <w:t>[V]</w:t>
            </w:r>
          </w:p>
        </w:tc>
      </w:tr>
      <w:tr w:rsidR="00341805" w:rsidTr="00341805">
        <w:trPr>
          <w:jc w:val="center"/>
        </w:trPr>
        <w:tc>
          <w:tcPr>
            <w:tcW w:w="1857" w:type="dxa"/>
          </w:tcPr>
          <w:p w:rsidR="00341805" w:rsidRDefault="00341805" w:rsidP="00341805">
            <w:pPr>
              <w:jc w:val="center"/>
              <w:rPr>
                <w:rFonts w:eastAsiaTheme="minorEastAsia"/>
              </w:rPr>
            </w:pPr>
            <w:r>
              <w:rPr>
                <w:rFonts w:eastAsiaTheme="minorEastAsia"/>
              </w:rPr>
              <w:t>Udaljenost[m]</w:t>
            </w:r>
          </w:p>
        </w:tc>
        <w:tc>
          <w:tcPr>
            <w:tcW w:w="1857" w:type="dxa"/>
          </w:tcPr>
          <w:p w:rsidR="00341805" w:rsidRDefault="00341805" w:rsidP="00341805">
            <w:pPr>
              <w:jc w:val="center"/>
              <w:rPr>
                <w:rFonts w:eastAsiaTheme="minorEastAsia"/>
              </w:rPr>
            </w:pPr>
            <w:r>
              <w:rPr>
                <w:rFonts w:eastAsiaTheme="minorEastAsia"/>
              </w:rPr>
              <w:t>Pravac 1</w:t>
            </w:r>
          </w:p>
        </w:tc>
        <w:tc>
          <w:tcPr>
            <w:tcW w:w="1858" w:type="dxa"/>
          </w:tcPr>
          <w:p w:rsidR="00341805" w:rsidRDefault="00341805" w:rsidP="00341805">
            <w:pPr>
              <w:jc w:val="center"/>
              <w:rPr>
                <w:rFonts w:eastAsiaTheme="minorEastAsia"/>
              </w:rPr>
            </w:pPr>
            <w:r>
              <w:rPr>
                <w:rFonts w:eastAsiaTheme="minorEastAsia"/>
              </w:rPr>
              <w:t>Pravac 2</w:t>
            </w:r>
          </w:p>
        </w:tc>
        <w:tc>
          <w:tcPr>
            <w:tcW w:w="1858" w:type="dxa"/>
          </w:tcPr>
          <w:p w:rsidR="00341805" w:rsidRDefault="00341805" w:rsidP="00341805">
            <w:pPr>
              <w:jc w:val="center"/>
              <w:rPr>
                <w:rFonts w:eastAsiaTheme="minorEastAsia"/>
              </w:rPr>
            </w:pPr>
            <w:r>
              <w:rPr>
                <w:rFonts w:eastAsiaTheme="minorEastAsia"/>
              </w:rPr>
              <w:t>Pravac 3</w:t>
            </w:r>
          </w:p>
        </w:tc>
      </w:tr>
      <w:tr w:rsidR="00341805" w:rsidTr="00341805">
        <w:trPr>
          <w:jc w:val="center"/>
        </w:trPr>
        <w:tc>
          <w:tcPr>
            <w:tcW w:w="1857" w:type="dxa"/>
          </w:tcPr>
          <w:p w:rsidR="00341805" w:rsidRDefault="00341805" w:rsidP="00341805">
            <w:pPr>
              <w:jc w:val="center"/>
              <w:rPr>
                <w:rFonts w:eastAsiaTheme="minorEastAsia"/>
              </w:rPr>
            </w:pPr>
            <w:r>
              <w:rPr>
                <w:rFonts w:eastAsiaTheme="minorEastAsia"/>
              </w:rPr>
              <w:t xml:space="preserve">0 </w:t>
            </w:r>
          </w:p>
        </w:tc>
        <w:tc>
          <w:tcPr>
            <w:tcW w:w="1857" w:type="dxa"/>
          </w:tcPr>
          <w:p w:rsidR="00341805" w:rsidRDefault="00341805" w:rsidP="00341805">
            <w:pPr>
              <w:jc w:val="center"/>
              <w:rPr>
                <w:rFonts w:eastAsiaTheme="minorEastAsia"/>
              </w:rPr>
            </w:pPr>
            <w:r>
              <w:rPr>
                <w:rFonts w:eastAsiaTheme="minorEastAsia"/>
              </w:rPr>
              <w:t>46.2</w:t>
            </w:r>
          </w:p>
        </w:tc>
        <w:tc>
          <w:tcPr>
            <w:tcW w:w="1858" w:type="dxa"/>
          </w:tcPr>
          <w:p w:rsidR="00341805" w:rsidRDefault="00ED6B70" w:rsidP="00341805">
            <w:pPr>
              <w:jc w:val="center"/>
              <w:rPr>
                <w:rFonts w:eastAsiaTheme="minorEastAsia"/>
              </w:rPr>
            </w:pPr>
            <w:r>
              <w:rPr>
                <w:rFonts w:eastAsiaTheme="minorEastAsia"/>
              </w:rPr>
              <w:t>46.2</w:t>
            </w:r>
          </w:p>
        </w:tc>
        <w:tc>
          <w:tcPr>
            <w:tcW w:w="1858" w:type="dxa"/>
          </w:tcPr>
          <w:p w:rsidR="00341805" w:rsidRDefault="00ED6B70" w:rsidP="00341805">
            <w:pPr>
              <w:jc w:val="center"/>
              <w:rPr>
                <w:rFonts w:eastAsiaTheme="minorEastAsia"/>
              </w:rPr>
            </w:pPr>
            <w:r>
              <w:rPr>
                <w:rFonts w:eastAsiaTheme="minorEastAsia"/>
              </w:rPr>
              <w:t>46.2</w:t>
            </w:r>
          </w:p>
        </w:tc>
      </w:tr>
      <w:tr w:rsidR="00341805" w:rsidTr="00341805">
        <w:trPr>
          <w:jc w:val="center"/>
        </w:trPr>
        <w:tc>
          <w:tcPr>
            <w:tcW w:w="1857" w:type="dxa"/>
          </w:tcPr>
          <w:p w:rsidR="00341805" w:rsidRDefault="00341805" w:rsidP="00341805">
            <w:pPr>
              <w:jc w:val="center"/>
              <w:rPr>
                <w:rFonts w:eastAsiaTheme="minorEastAsia"/>
              </w:rPr>
            </w:pPr>
            <w:r>
              <w:rPr>
                <w:rFonts w:eastAsiaTheme="minorEastAsia"/>
              </w:rPr>
              <w:t xml:space="preserve">1 </w:t>
            </w:r>
          </w:p>
        </w:tc>
        <w:tc>
          <w:tcPr>
            <w:tcW w:w="1857" w:type="dxa"/>
          </w:tcPr>
          <w:p w:rsidR="00341805" w:rsidRDefault="00341805" w:rsidP="00341805">
            <w:pPr>
              <w:jc w:val="center"/>
              <w:rPr>
                <w:rFonts w:eastAsiaTheme="minorEastAsia"/>
              </w:rPr>
            </w:pPr>
            <w:r>
              <w:rPr>
                <w:rFonts w:eastAsiaTheme="minorEastAsia"/>
              </w:rPr>
              <w:t>49.6</w:t>
            </w:r>
          </w:p>
        </w:tc>
        <w:tc>
          <w:tcPr>
            <w:tcW w:w="1858" w:type="dxa"/>
          </w:tcPr>
          <w:p w:rsidR="00341805" w:rsidRDefault="00ED6B70" w:rsidP="00341805">
            <w:pPr>
              <w:jc w:val="center"/>
              <w:rPr>
                <w:rFonts w:eastAsiaTheme="minorEastAsia"/>
              </w:rPr>
            </w:pPr>
            <w:r>
              <w:rPr>
                <w:rFonts w:eastAsiaTheme="minorEastAsia"/>
              </w:rPr>
              <w:t>50.5</w:t>
            </w:r>
          </w:p>
        </w:tc>
        <w:tc>
          <w:tcPr>
            <w:tcW w:w="1858" w:type="dxa"/>
          </w:tcPr>
          <w:p w:rsidR="00341805" w:rsidRDefault="00ED6B70" w:rsidP="00341805">
            <w:pPr>
              <w:jc w:val="center"/>
              <w:rPr>
                <w:rFonts w:eastAsiaTheme="minorEastAsia"/>
              </w:rPr>
            </w:pPr>
            <w:r>
              <w:rPr>
                <w:rFonts w:eastAsiaTheme="minorEastAsia"/>
              </w:rPr>
              <w:t>51.6</w:t>
            </w:r>
          </w:p>
        </w:tc>
      </w:tr>
      <w:tr w:rsidR="00ED6B70" w:rsidTr="00341805">
        <w:trPr>
          <w:jc w:val="center"/>
        </w:trPr>
        <w:tc>
          <w:tcPr>
            <w:tcW w:w="1857" w:type="dxa"/>
          </w:tcPr>
          <w:p w:rsidR="00ED6B70" w:rsidRDefault="00ED6B70" w:rsidP="00341805">
            <w:pPr>
              <w:jc w:val="center"/>
              <w:rPr>
                <w:rFonts w:eastAsiaTheme="minorEastAsia"/>
              </w:rPr>
            </w:pPr>
            <w:r>
              <w:rPr>
                <w:rFonts w:eastAsiaTheme="minorEastAsia"/>
              </w:rPr>
              <w:t xml:space="preserve">2 </w:t>
            </w:r>
          </w:p>
        </w:tc>
        <w:tc>
          <w:tcPr>
            <w:tcW w:w="1857" w:type="dxa"/>
          </w:tcPr>
          <w:p w:rsidR="00ED6B70" w:rsidRDefault="00ED6B70" w:rsidP="00341805">
            <w:pPr>
              <w:jc w:val="center"/>
              <w:rPr>
                <w:rFonts w:eastAsiaTheme="minorEastAsia"/>
              </w:rPr>
            </w:pPr>
            <w:r>
              <w:rPr>
                <w:rFonts w:eastAsiaTheme="minorEastAsia"/>
              </w:rPr>
              <w:t>43.9</w:t>
            </w:r>
          </w:p>
        </w:tc>
        <w:tc>
          <w:tcPr>
            <w:tcW w:w="1858" w:type="dxa"/>
          </w:tcPr>
          <w:p w:rsidR="00ED6B70" w:rsidRDefault="00ED6B70" w:rsidP="00A94FB3">
            <w:pPr>
              <w:jc w:val="center"/>
              <w:rPr>
                <w:rFonts w:eastAsiaTheme="minorEastAsia"/>
              </w:rPr>
            </w:pPr>
            <w:r>
              <w:rPr>
                <w:rFonts w:eastAsiaTheme="minorEastAsia"/>
              </w:rPr>
              <w:t>53.8</w:t>
            </w:r>
          </w:p>
        </w:tc>
        <w:tc>
          <w:tcPr>
            <w:tcW w:w="1858" w:type="dxa"/>
          </w:tcPr>
          <w:p w:rsidR="00ED6B70" w:rsidRDefault="00ED6B70" w:rsidP="00341805">
            <w:pPr>
              <w:jc w:val="center"/>
              <w:rPr>
                <w:rFonts w:eastAsiaTheme="minorEastAsia"/>
              </w:rPr>
            </w:pPr>
            <w:r>
              <w:rPr>
                <w:rFonts w:eastAsiaTheme="minorEastAsia"/>
              </w:rPr>
              <w:t>55.0</w:t>
            </w:r>
          </w:p>
        </w:tc>
      </w:tr>
      <w:tr w:rsidR="00ED6B70" w:rsidTr="00341805">
        <w:trPr>
          <w:jc w:val="center"/>
        </w:trPr>
        <w:tc>
          <w:tcPr>
            <w:tcW w:w="1857" w:type="dxa"/>
          </w:tcPr>
          <w:p w:rsidR="00ED6B70" w:rsidRDefault="00ED6B70" w:rsidP="00341805">
            <w:pPr>
              <w:jc w:val="center"/>
              <w:rPr>
                <w:rFonts w:eastAsiaTheme="minorEastAsia"/>
              </w:rPr>
            </w:pPr>
            <w:r>
              <w:rPr>
                <w:rFonts w:eastAsiaTheme="minorEastAsia"/>
              </w:rPr>
              <w:t xml:space="preserve">3 </w:t>
            </w:r>
          </w:p>
        </w:tc>
        <w:tc>
          <w:tcPr>
            <w:tcW w:w="1857" w:type="dxa"/>
          </w:tcPr>
          <w:p w:rsidR="00ED6B70" w:rsidRDefault="00ED6B70" w:rsidP="00341805">
            <w:pPr>
              <w:jc w:val="center"/>
              <w:rPr>
                <w:rFonts w:eastAsiaTheme="minorEastAsia"/>
              </w:rPr>
            </w:pPr>
            <w:r>
              <w:rPr>
                <w:rFonts w:eastAsiaTheme="minorEastAsia"/>
              </w:rPr>
              <w:t>55.1</w:t>
            </w:r>
          </w:p>
        </w:tc>
        <w:tc>
          <w:tcPr>
            <w:tcW w:w="1858" w:type="dxa"/>
          </w:tcPr>
          <w:p w:rsidR="00ED6B70" w:rsidRDefault="00ED6B70" w:rsidP="00A94FB3">
            <w:pPr>
              <w:jc w:val="center"/>
              <w:rPr>
                <w:rFonts w:eastAsiaTheme="minorEastAsia"/>
              </w:rPr>
            </w:pPr>
            <w:r>
              <w:rPr>
                <w:rFonts w:eastAsiaTheme="minorEastAsia"/>
              </w:rPr>
              <w:t>55.3</w:t>
            </w:r>
          </w:p>
        </w:tc>
        <w:tc>
          <w:tcPr>
            <w:tcW w:w="1858" w:type="dxa"/>
          </w:tcPr>
          <w:p w:rsidR="00ED6B70" w:rsidRDefault="00ED6B70" w:rsidP="00341805">
            <w:pPr>
              <w:jc w:val="center"/>
              <w:rPr>
                <w:rFonts w:eastAsiaTheme="minorEastAsia"/>
              </w:rPr>
            </w:pPr>
            <w:r>
              <w:rPr>
                <w:rFonts w:eastAsiaTheme="minorEastAsia"/>
              </w:rPr>
              <w:t>56.1</w:t>
            </w:r>
          </w:p>
        </w:tc>
      </w:tr>
      <w:tr w:rsidR="00ED6B70" w:rsidTr="00341805">
        <w:trPr>
          <w:jc w:val="center"/>
        </w:trPr>
        <w:tc>
          <w:tcPr>
            <w:tcW w:w="1857" w:type="dxa"/>
          </w:tcPr>
          <w:p w:rsidR="00ED6B70" w:rsidRDefault="00ED6B70" w:rsidP="00341805">
            <w:pPr>
              <w:jc w:val="center"/>
              <w:rPr>
                <w:rFonts w:eastAsiaTheme="minorEastAsia"/>
              </w:rPr>
            </w:pPr>
            <w:r>
              <w:rPr>
                <w:rFonts w:eastAsiaTheme="minorEastAsia"/>
              </w:rPr>
              <w:t xml:space="preserve">4 </w:t>
            </w:r>
          </w:p>
        </w:tc>
        <w:tc>
          <w:tcPr>
            <w:tcW w:w="1857" w:type="dxa"/>
          </w:tcPr>
          <w:p w:rsidR="00ED6B70" w:rsidRDefault="00ED6B70" w:rsidP="00341805">
            <w:pPr>
              <w:jc w:val="center"/>
              <w:rPr>
                <w:rFonts w:eastAsiaTheme="minorEastAsia"/>
              </w:rPr>
            </w:pPr>
            <w:r>
              <w:rPr>
                <w:rFonts w:eastAsiaTheme="minorEastAsia"/>
              </w:rPr>
              <w:t>56.4</w:t>
            </w:r>
          </w:p>
        </w:tc>
        <w:tc>
          <w:tcPr>
            <w:tcW w:w="1858" w:type="dxa"/>
          </w:tcPr>
          <w:p w:rsidR="00ED6B70" w:rsidRDefault="00ED6B70" w:rsidP="00A94FB3">
            <w:pPr>
              <w:jc w:val="center"/>
              <w:rPr>
                <w:rFonts w:eastAsiaTheme="minorEastAsia"/>
              </w:rPr>
            </w:pPr>
            <w:r>
              <w:rPr>
                <w:rFonts w:eastAsiaTheme="minorEastAsia"/>
              </w:rPr>
              <w:t>56.1</w:t>
            </w:r>
          </w:p>
        </w:tc>
        <w:tc>
          <w:tcPr>
            <w:tcW w:w="1858" w:type="dxa"/>
          </w:tcPr>
          <w:p w:rsidR="00ED6B70" w:rsidRDefault="00ED6B70" w:rsidP="00341805">
            <w:pPr>
              <w:jc w:val="center"/>
              <w:rPr>
                <w:rFonts w:eastAsiaTheme="minorEastAsia"/>
              </w:rPr>
            </w:pPr>
            <w:r>
              <w:rPr>
                <w:rFonts w:eastAsiaTheme="minorEastAsia"/>
              </w:rPr>
              <w:t>57.4</w:t>
            </w:r>
          </w:p>
        </w:tc>
      </w:tr>
      <w:tr w:rsidR="00ED6B70" w:rsidTr="00341805">
        <w:trPr>
          <w:jc w:val="center"/>
        </w:trPr>
        <w:tc>
          <w:tcPr>
            <w:tcW w:w="1857" w:type="dxa"/>
          </w:tcPr>
          <w:p w:rsidR="00ED6B70" w:rsidRDefault="00ED6B70" w:rsidP="00341805">
            <w:pPr>
              <w:jc w:val="center"/>
              <w:rPr>
                <w:rFonts w:eastAsiaTheme="minorEastAsia"/>
              </w:rPr>
            </w:pPr>
            <w:r>
              <w:rPr>
                <w:rFonts w:eastAsiaTheme="minorEastAsia"/>
              </w:rPr>
              <w:t xml:space="preserve">5 </w:t>
            </w:r>
          </w:p>
        </w:tc>
        <w:tc>
          <w:tcPr>
            <w:tcW w:w="1857" w:type="dxa"/>
          </w:tcPr>
          <w:p w:rsidR="00ED6B70" w:rsidRDefault="00ED6B70" w:rsidP="00341805">
            <w:pPr>
              <w:jc w:val="center"/>
              <w:rPr>
                <w:rFonts w:eastAsiaTheme="minorEastAsia"/>
              </w:rPr>
            </w:pPr>
            <w:r>
              <w:rPr>
                <w:rFonts w:eastAsiaTheme="minorEastAsia"/>
              </w:rPr>
              <w:t>57.7</w:t>
            </w:r>
          </w:p>
        </w:tc>
        <w:tc>
          <w:tcPr>
            <w:tcW w:w="1858" w:type="dxa"/>
          </w:tcPr>
          <w:p w:rsidR="00ED6B70" w:rsidRDefault="00ED6B70" w:rsidP="00A94FB3">
            <w:pPr>
              <w:jc w:val="center"/>
              <w:rPr>
                <w:rFonts w:eastAsiaTheme="minorEastAsia"/>
              </w:rPr>
            </w:pPr>
            <w:r>
              <w:rPr>
                <w:rFonts w:eastAsiaTheme="minorEastAsia"/>
              </w:rPr>
              <w:t>56.8</w:t>
            </w:r>
          </w:p>
        </w:tc>
        <w:tc>
          <w:tcPr>
            <w:tcW w:w="1858" w:type="dxa"/>
          </w:tcPr>
          <w:p w:rsidR="00ED6B70" w:rsidRDefault="00ED6B70" w:rsidP="00341805">
            <w:pPr>
              <w:jc w:val="center"/>
              <w:rPr>
                <w:rFonts w:eastAsiaTheme="minorEastAsia"/>
              </w:rPr>
            </w:pPr>
            <w:r>
              <w:rPr>
                <w:rFonts w:eastAsiaTheme="minorEastAsia"/>
              </w:rPr>
              <w:t>57.9</w:t>
            </w:r>
          </w:p>
        </w:tc>
      </w:tr>
      <w:tr w:rsidR="00ED6B70" w:rsidTr="00341805">
        <w:trPr>
          <w:jc w:val="center"/>
        </w:trPr>
        <w:tc>
          <w:tcPr>
            <w:tcW w:w="1857" w:type="dxa"/>
          </w:tcPr>
          <w:p w:rsidR="00ED6B70" w:rsidRDefault="00ED6B70" w:rsidP="00341805">
            <w:pPr>
              <w:jc w:val="center"/>
              <w:rPr>
                <w:rFonts w:eastAsiaTheme="minorEastAsia"/>
              </w:rPr>
            </w:pPr>
            <w:r>
              <w:rPr>
                <w:rFonts w:eastAsiaTheme="minorEastAsia"/>
              </w:rPr>
              <w:t xml:space="preserve">6 </w:t>
            </w:r>
          </w:p>
        </w:tc>
        <w:tc>
          <w:tcPr>
            <w:tcW w:w="1857" w:type="dxa"/>
          </w:tcPr>
          <w:p w:rsidR="00ED6B70" w:rsidRDefault="00ED6B70" w:rsidP="00341805">
            <w:pPr>
              <w:jc w:val="center"/>
              <w:rPr>
                <w:rFonts w:eastAsiaTheme="minorEastAsia"/>
              </w:rPr>
            </w:pPr>
            <w:r>
              <w:rPr>
                <w:rFonts w:eastAsiaTheme="minorEastAsia"/>
              </w:rPr>
              <w:t>58.0</w:t>
            </w:r>
          </w:p>
        </w:tc>
        <w:tc>
          <w:tcPr>
            <w:tcW w:w="1858" w:type="dxa"/>
          </w:tcPr>
          <w:p w:rsidR="00ED6B70" w:rsidRDefault="00ED6B70" w:rsidP="00A94FB3">
            <w:pPr>
              <w:jc w:val="center"/>
              <w:rPr>
                <w:rFonts w:eastAsiaTheme="minorEastAsia"/>
              </w:rPr>
            </w:pPr>
            <w:r>
              <w:rPr>
                <w:rFonts w:eastAsiaTheme="minorEastAsia"/>
              </w:rPr>
              <w:t>57.7</w:t>
            </w:r>
          </w:p>
        </w:tc>
        <w:tc>
          <w:tcPr>
            <w:tcW w:w="1858" w:type="dxa"/>
          </w:tcPr>
          <w:p w:rsidR="00ED6B70" w:rsidRDefault="00ED6B70" w:rsidP="00341805">
            <w:pPr>
              <w:jc w:val="center"/>
              <w:rPr>
                <w:rFonts w:eastAsiaTheme="minorEastAsia"/>
              </w:rPr>
            </w:pPr>
            <w:r>
              <w:rPr>
                <w:rFonts w:eastAsiaTheme="minorEastAsia"/>
              </w:rPr>
              <w:t>58.2</w:t>
            </w:r>
          </w:p>
        </w:tc>
      </w:tr>
      <w:tr w:rsidR="00ED6B70" w:rsidTr="00341805">
        <w:trPr>
          <w:jc w:val="center"/>
        </w:trPr>
        <w:tc>
          <w:tcPr>
            <w:tcW w:w="1857" w:type="dxa"/>
          </w:tcPr>
          <w:p w:rsidR="00ED6B70" w:rsidRDefault="00ED6B70" w:rsidP="00341805">
            <w:pPr>
              <w:jc w:val="center"/>
              <w:rPr>
                <w:rFonts w:eastAsiaTheme="minorEastAsia"/>
              </w:rPr>
            </w:pPr>
            <w:r>
              <w:rPr>
                <w:rFonts w:eastAsiaTheme="minorEastAsia"/>
              </w:rPr>
              <w:t xml:space="preserve">7 </w:t>
            </w:r>
          </w:p>
        </w:tc>
        <w:tc>
          <w:tcPr>
            <w:tcW w:w="1857" w:type="dxa"/>
          </w:tcPr>
          <w:p w:rsidR="00ED6B70" w:rsidRDefault="00ED6B70" w:rsidP="00341805">
            <w:pPr>
              <w:jc w:val="center"/>
              <w:rPr>
                <w:rFonts w:eastAsiaTheme="minorEastAsia"/>
              </w:rPr>
            </w:pPr>
            <w:r>
              <w:rPr>
                <w:rFonts w:eastAsiaTheme="minorEastAsia"/>
              </w:rPr>
              <w:t>58.4</w:t>
            </w:r>
          </w:p>
        </w:tc>
        <w:tc>
          <w:tcPr>
            <w:tcW w:w="1858" w:type="dxa"/>
          </w:tcPr>
          <w:p w:rsidR="00ED6B70" w:rsidRDefault="00ED6B70" w:rsidP="00A94FB3">
            <w:pPr>
              <w:jc w:val="center"/>
              <w:rPr>
                <w:rFonts w:eastAsiaTheme="minorEastAsia"/>
              </w:rPr>
            </w:pPr>
            <w:r>
              <w:rPr>
                <w:rFonts w:eastAsiaTheme="minorEastAsia"/>
              </w:rPr>
              <w:t>58.4</w:t>
            </w:r>
          </w:p>
        </w:tc>
        <w:tc>
          <w:tcPr>
            <w:tcW w:w="1858" w:type="dxa"/>
          </w:tcPr>
          <w:p w:rsidR="00ED6B70" w:rsidRDefault="00ED6B70" w:rsidP="00341805">
            <w:pPr>
              <w:jc w:val="center"/>
              <w:rPr>
                <w:rFonts w:eastAsiaTheme="minorEastAsia"/>
              </w:rPr>
            </w:pPr>
            <w:r>
              <w:rPr>
                <w:rFonts w:eastAsiaTheme="minorEastAsia"/>
              </w:rPr>
              <w:t>58.5</w:t>
            </w:r>
          </w:p>
        </w:tc>
      </w:tr>
      <w:tr w:rsidR="00ED6B70" w:rsidTr="00341805">
        <w:trPr>
          <w:jc w:val="center"/>
        </w:trPr>
        <w:tc>
          <w:tcPr>
            <w:tcW w:w="1857" w:type="dxa"/>
          </w:tcPr>
          <w:p w:rsidR="00ED6B70" w:rsidRDefault="00ED6B70" w:rsidP="00341805">
            <w:pPr>
              <w:jc w:val="center"/>
              <w:rPr>
                <w:rFonts w:eastAsiaTheme="minorEastAsia"/>
              </w:rPr>
            </w:pPr>
            <w:r>
              <w:rPr>
                <w:rFonts w:eastAsiaTheme="minorEastAsia"/>
              </w:rPr>
              <w:t xml:space="preserve">8 </w:t>
            </w:r>
          </w:p>
        </w:tc>
        <w:tc>
          <w:tcPr>
            <w:tcW w:w="1857" w:type="dxa"/>
          </w:tcPr>
          <w:p w:rsidR="00ED6B70" w:rsidRDefault="00ED6B70" w:rsidP="00341805">
            <w:pPr>
              <w:jc w:val="center"/>
              <w:rPr>
                <w:rFonts w:eastAsiaTheme="minorEastAsia"/>
              </w:rPr>
            </w:pPr>
            <w:r>
              <w:rPr>
                <w:rFonts w:eastAsiaTheme="minorEastAsia"/>
              </w:rPr>
              <w:t>58.8</w:t>
            </w:r>
          </w:p>
        </w:tc>
        <w:tc>
          <w:tcPr>
            <w:tcW w:w="1858" w:type="dxa"/>
          </w:tcPr>
          <w:p w:rsidR="00ED6B70" w:rsidRDefault="00ED6B70" w:rsidP="00A94FB3">
            <w:pPr>
              <w:jc w:val="center"/>
              <w:rPr>
                <w:rFonts w:eastAsiaTheme="minorEastAsia"/>
              </w:rPr>
            </w:pPr>
            <w:r>
              <w:rPr>
                <w:rFonts w:eastAsiaTheme="minorEastAsia"/>
              </w:rPr>
              <w:t>58.9</w:t>
            </w:r>
          </w:p>
        </w:tc>
        <w:tc>
          <w:tcPr>
            <w:tcW w:w="1858" w:type="dxa"/>
          </w:tcPr>
          <w:p w:rsidR="00ED6B70" w:rsidRDefault="00ED6B70" w:rsidP="00341805">
            <w:pPr>
              <w:jc w:val="center"/>
              <w:rPr>
                <w:rFonts w:eastAsiaTheme="minorEastAsia"/>
              </w:rPr>
            </w:pPr>
            <w:r>
              <w:rPr>
                <w:rFonts w:eastAsiaTheme="minorEastAsia"/>
              </w:rPr>
              <w:t>58.8</w:t>
            </w:r>
          </w:p>
        </w:tc>
      </w:tr>
      <w:tr w:rsidR="00ED6B70" w:rsidTr="00341805">
        <w:trPr>
          <w:jc w:val="center"/>
        </w:trPr>
        <w:tc>
          <w:tcPr>
            <w:tcW w:w="1857" w:type="dxa"/>
          </w:tcPr>
          <w:p w:rsidR="00ED6B70" w:rsidRDefault="00ED6B70" w:rsidP="00341805">
            <w:pPr>
              <w:jc w:val="center"/>
              <w:rPr>
                <w:rFonts w:eastAsiaTheme="minorEastAsia"/>
              </w:rPr>
            </w:pPr>
            <w:r>
              <w:rPr>
                <w:rFonts w:eastAsiaTheme="minorEastAsia"/>
              </w:rPr>
              <w:t xml:space="preserve">9 </w:t>
            </w:r>
          </w:p>
        </w:tc>
        <w:tc>
          <w:tcPr>
            <w:tcW w:w="1857" w:type="dxa"/>
          </w:tcPr>
          <w:p w:rsidR="00ED6B70" w:rsidRDefault="00ED6B70" w:rsidP="00341805">
            <w:pPr>
              <w:jc w:val="center"/>
              <w:rPr>
                <w:rFonts w:eastAsiaTheme="minorEastAsia"/>
              </w:rPr>
            </w:pPr>
            <w:r>
              <w:rPr>
                <w:rFonts w:eastAsiaTheme="minorEastAsia"/>
              </w:rPr>
              <w:t>59.2</w:t>
            </w:r>
          </w:p>
        </w:tc>
        <w:tc>
          <w:tcPr>
            <w:tcW w:w="1858" w:type="dxa"/>
          </w:tcPr>
          <w:p w:rsidR="00ED6B70" w:rsidRDefault="00ED6B70" w:rsidP="00A94FB3">
            <w:pPr>
              <w:jc w:val="center"/>
              <w:rPr>
                <w:rFonts w:eastAsiaTheme="minorEastAsia"/>
              </w:rPr>
            </w:pPr>
            <w:r>
              <w:rPr>
                <w:rFonts w:eastAsiaTheme="minorEastAsia"/>
              </w:rPr>
              <w:t>59.3</w:t>
            </w:r>
          </w:p>
        </w:tc>
        <w:tc>
          <w:tcPr>
            <w:tcW w:w="1858" w:type="dxa"/>
          </w:tcPr>
          <w:p w:rsidR="00ED6B70" w:rsidRDefault="00ED6B70" w:rsidP="00341805">
            <w:pPr>
              <w:jc w:val="center"/>
              <w:rPr>
                <w:rFonts w:eastAsiaTheme="minorEastAsia"/>
              </w:rPr>
            </w:pPr>
            <w:r>
              <w:rPr>
                <w:rFonts w:eastAsiaTheme="minorEastAsia"/>
              </w:rPr>
              <w:t>58.9</w:t>
            </w:r>
          </w:p>
        </w:tc>
      </w:tr>
      <w:tr w:rsidR="00ED6B70" w:rsidTr="00341805">
        <w:trPr>
          <w:jc w:val="center"/>
        </w:trPr>
        <w:tc>
          <w:tcPr>
            <w:tcW w:w="1857" w:type="dxa"/>
          </w:tcPr>
          <w:p w:rsidR="00ED6B70" w:rsidRDefault="00ED6B70" w:rsidP="00341805">
            <w:pPr>
              <w:jc w:val="center"/>
              <w:rPr>
                <w:rFonts w:eastAsiaTheme="minorEastAsia"/>
              </w:rPr>
            </w:pPr>
            <w:r>
              <w:rPr>
                <w:rFonts w:eastAsiaTheme="minorEastAsia"/>
              </w:rPr>
              <w:t>10</w:t>
            </w:r>
          </w:p>
        </w:tc>
        <w:tc>
          <w:tcPr>
            <w:tcW w:w="1857" w:type="dxa"/>
          </w:tcPr>
          <w:p w:rsidR="00ED6B70" w:rsidRDefault="00ED6B70" w:rsidP="00341805">
            <w:pPr>
              <w:jc w:val="center"/>
              <w:rPr>
                <w:rFonts w:eastAsiaTheme="minorEastAsia"/>
              </w:rPr>
            </w:pPr>
            <w:r>
              <w:rPr>
                <w:rFonts w:eastAsiaTheme="minorEastAsia"/>
              </w:rPr>
              <w:t>59.5</w:t>
            </w:r>
          </w:p>
        </w:tc>
        <w:tc>
          <w:tcPr>
            <w:tcW w:w="1858" w:type="dxa"/>
          </w:tcPr>
          <w:p w:rsidR="00ED6B70" w:rsidRDefault="00ED6B70" w:rsidP="00A94FB3">
            <w:pPr>
              <w:jc w:val="center"/>
              <w:rPr>
                <w:rFonts w:eastAsiaTheme="minorEastAsia"/>
              </w:rPr>
            </w:pPr>
            <w:r>
              <w:rPr>
                <w:rFonts w:eastAsiaTheme="minorEastAsia"/>
              </w:rPr>
              <w:t>59.6</w:t>
            </w:r>
          </w:p>
        </w:tc>
        <w:tc>
          <w:tcPr>
            <w:tcW w:w="1858" w:type="dxa"/>
          </w:tcPr>
          <w:p w:rsidR="00ED6B70" w:rsidRDefault="00ED6B70" w:rsidP="00341805">
            <w:pPr>
              <w:jc w:val="center"/>
              <w:rPr>
                <w:rFonts w:eastAsiaTheme="minorEastAsia"/>
              </w:rPr>
            </w:pPr>
            <w:r>
              <w:rPr>
                <w:rFonts w:eastAsiaTheme="minorEastAsia"/>
              </w:rPr>
              <w:t>59.1</w:t>
            </w:r>
          </w:p>
        </w:tc>
      </w:tr>
      <w:tr w:rsidR="00ED6B70" w:rsidTr="00341805">
        <w:trPr>
          <w:jc w:val="center"/>
        </w:trPr>
        <w:tc>
          <w:tcPr>
            <w:tcW w:w="1857" w:type="dxa"/>
          </w:tcPr>
          <w:p w:rsidR="00ED6B70" w:rsidRDefault="00ED6B70" w:rsidP="00341805">
            <w:pPr>
              <w:jc w:val="center"/>
              <w:rPr>
                <w:rFonts w:eastAsiaTheme="minorEastAsia"/>
              </w:rPr>
            </w:pPr>
            <w:r>
              <w:rPr>
                <w:rFonts w:eastAsiaTheme="minorEastAsia"/>
              </w:rPr>
              <w:t xml:space="preserve">11 </w:t>
            </w:r>
          </w:p>
        </w:tc>
        <w:tc>
          <w:tcPr>
            <w:tcW w:w="1857" w:type="dxa"/>
          </w:tcPr>
          <w:p w:rsidR="00ED6B70" w:rsidRDefault="00ED6B70" w:rsidP="00341805">
            <w:pPr>
              <w:jc w:val="center"/>
              <w:rPr>
                <w:rFonts w:eastAsiaTheme="minorEastAsia"/>
              </w:rPr>
            </w:pPr>
            <w:r>
              <w:rPr>
                <w:rFonts w:eastAsiaTheme="minorEastAsia"/>
              </w:rPr>
              <w:t>59.6</w:t>
            </w:r>
          </w:p>
        </w:tc>
        <w:tc>
          <w:tcPr>
            <w:tcW w:w="1858" w:type="dxa"/>
          </w:tcPr>
          <w:p w:rsidR="00ED6B70" w:rsidRDefault="00ED6B70" w:rsidP="00341805">
            <w:pPr>
              <w:jc w:val="center"/>
              <w:rPr>
                <w:rFonts w:eastAsiaTheme="minorEastAsia"/>
              </w:rPr>
            </w:pPr>
            <w:r>
              <w:rPr>
                <w:rFonts w:eastAsiaTheme="minorEastAsia"/>
              </w:rPr>
              <w:t>59.6</w:t>
            </w:r>
          </w:p>
        </w:tc>
        <w:tc>
          <w:tcPr>
            <w:tcW w:w="1858" w:type="dxa"/>
          </w:tcPr>
          <w:p w:rsidR="00ED6B70" w:rsidRDefault="00ED6B70" w:rsidP="00341805">
            <w:pPr>
              <w:jc w:val="center"/>
              <w:rPr>
                <w:rFonts w:eastAsiaTheme="minorEastAsia"/>
              </w:rPr>
            </w:pPr>
            <w:r>
              <w:rPr>
                <w:rFonts w:eastAsiaTheme="minorEastAsia"/>
              </w:rPr>
              <w:t>59.3</w:t>
            </w:r>
          </w:p>
        </w:tc>
      </w:tr>
    </w:tbl>
    <w:p w:rsidR="00ED6B70" w:rsidRDefault="00ED6B70" w:rsidP="00ED6B70">
      <w:pPr>
        <w:pStyle w:val="Caption"/>
      </w:pPr>
    </w:p>
    <w:p w:rsidR="00ED6B70" w:rsidRDefault="00ED6B70" w:rsidP="00ED6B70">
      <w:pPr>
        <w:pStyle w:val="Caption"/>
        <w:jc w:val="center"/>
      </w:pPr>
      <w:r>
        <w:t xml:space="preserve">Slika </w:t>
      </w:r>
      <w:fldSimple w:instr=" SEQ Slika \* ARABIC ">
        <w:r>
          <w:rPr>
            <w:noProof/>
          </w:rPr>
          <w:t>2</w:t>
        </w:r>
      </w:fldSimple>
      <w:r>
        <w:t>. Mjerenje raspodjele potencijala</w:t>
      </w:r>
    </w:p>
    <w:p w:rsidR="00AA3D0F" w:rsidRPr="00AA3D0F" w:rsidRDefault="00AA3D0F" w:rsidP="00AA3D0F"/>
    <w:sectPr w:rsidR="00AA3D0F" w:rsidRPr="00AA3D0F" w:rsidSect="00D4178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C0FBE"/>
    <w:multiLevelType w:val="hybridMultilevel"/>
    <w:tmpl w:val="78D883A6"/>
    <w:lvl w:ilvl="0" w:tplc="9698EAA6">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51089"/>
    <w:rsid w:val="000307FB"/>
    <w:rsid w:val="00083C4B"/>
    <w:rsid w:val="00104BBA"/>
    <w:rsid w:val="00141AB3"/>
    <w:rsid w:val="002919E3"/>
    <w:rsid w:val="003300AE"/>
    <w:rsid w:val="00331826"/>
    <w:rsid w:val="00341805"/>
    <w:rsid w:val="00374C87"/>
    <w:rsid w:val="003D2F75"/>
    <w:rsid w:val="003D6219"/>
    <w:rsid w:val="003F2C8F"/>
    <w:rsid w:val="00404CD2"/>
    <w:rsid w:val="0040516B"/>
    <w:rsid w:val="0046221D"/>
    <w:rsid w:val="005B7F88"/>
    <w:rsid w:val="00636848"/>
    <w:rsid w:val="006503B8"/>
    <w:rsid w:val="00673BF0"/>
    <w:rsid w:val="0069083D"/>
    <w:rsid w:val="006F2558"/>
    <w:rsid w:val="00737CC2"/>
    <w:rsid w:val="007432E6"/>
    <w:rsid w:val="00812883"/>
    <w:rsid w:val="008A3815"/>
    <w:rsid w:val="008B1CDF"/>
    <w:rsid w:val="00951089"/>
    <w:rsid w:val="00984F27"/>
    <w:rsid w:val="009D1F26"/>
    <w:rsid w:val="00A1442D"/>
    <w:rsid w:val="00AA3D0F"/>
    <w:rsid w:val="00AC7920"/>
    <w:rsid w:val="00AE20F5"/>
    <w:rsid w:val="00B61CFC"/>
    <w:rsid w:val="00BA29DB"/>
    <w:rsid w:val="00BA4EAC"/>
    <w:rsid w:val="00C114BF"/>
    <w:rsid w:val="00C33BEE"/>
    <w:rsid w:val="00C679E5"/>
    <w:rsid w:val="00CC3916"/>
    <w:rsid w:val="00D30FFE"/>
    <w:rsid w:val="00D4178D"/>
    <w:rsid w:val="00D505B2"/>
    <w:rsid w:val="00DB794E"/>
    <w:rsid w:val="00DC7975"/>
    <w:rsid w:val="00DE1CBA"/>
    <w:rsid w:val="00DF2037"/>
    <w:rsid w:val="00E47B31"/>
    <w:rsid w:val="00E83F0C"/>
    <w:rsid w:val="00EA0A5B"/>
    <w:rsid w:val="00ED6B70"/>
    <w:rsid w:val="00F0289B"/>
    <w:rsid w:val="00F1262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0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089"/>
    <w:pPr>
      <w:ind w:left="720"/>
      <w:contextualSpacing/>
    </w:pPr>
  </w:style>
  <w:style w:type="paragraph" w:styleId="BalloonText">
    <w:name w:val="Balloon Text"/>
    <w:basedOn w:val="Normal"/>
    <w:link w:val="BalloonTextChar"/>
    <w:uiPriority w:val="99"/>
    <w:semiHidden/>
    <w:unhideWhenUsed/>
    <w:rsid w:val="00BA2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9DB"/>
    <w:rPr>
      <w:rFonts w:ascii="Tahoma" w:hAnsi="Tahoma" w:cs="Tahoma"/>
      <w:sz w:val="16"/>
      <w:szCs w:val="16"/>
    </w:rPr>
  </w:style>
  <w:style w:type="paragraph" w:styleId="Caption">
    <w:name w:val="caption"/>
    <w:basedOn w:val="Normal"/>
    <w:next w:val="Normal"/>
    <w:uiPriority w:val="35"/>
    <w:unhideWhenUsed/>
    <w:qFormat/>
    <w:rsid w:val="00BA29DB"/>
    <w:pPr>
      <w:spacing w:line="240" w:lineRule="auto"/>
    </w:pPr>
    <w:rPr>
      <w:b/>
      <w:bCs/>
      <w:color w:val="4F81BD" w:themeColor="accent1"/>
      <w:sz w:val="18"/>
      <w:szCs w:val="18"/>
    </w:rPr>
  </w:style>
  <w:style w:type="character" w:styleId="PlaceholderText">
    <w:name w:val="Placeholder Text"/>
    <w:basedOn w:val="DefaultParagraphFont"/>
    <w:uiPriority w:val="99"/>
    <w:semiHidden/>
    <w:rsid w:val="00404CD2"/>
    <w:rPr>
      <w:color w:val="808080"/>
    </w:rPr>
  </w:style>
  <w:style w:type="table" w:styleId="TableGrid">
    <w:name w:val="Table Grid"/>
    <w:basedOn w:val="TableNormal"/>
    <w:uiPriority w:val="59"/>
    <w:rsid w:val="00EA0A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34180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54383-3AA8-4D5B-9D1E-EC58ABD3E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6</cp:revision>
  <dcterms:created xsi:type="dcterms:W3CDTF">2011-10-30T21:59:00Z</dcterms:created>
  <dcterms:modified xsi:type="dcterms:W3CDTF">2011-10-31T00:07:00Z</dcterms:modified>
</cp:coreProperties>
</file>