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F7A0D" w14:textId="77777777" w:rsidR="00444438" w:rsidRPr="007F2DF5" w:rsidRDefault="00444438" w:rsidP="00444438">
      <w:pPr>
        <w:pStyle w:val="Title"/>
        <w:rPr>
          <w:lang w:val="hr-HR"/>
        </w:rPr>
      </w:pPr>
      <w:r w:rsidRPr="007F2DF5">
        <w:rPr>
          <w:lang w:val="hr-HR"/>
        </w:rPr>
        <w:t>Magnetska boca i plazma</w:t>
      </w:r>
    </w:p>
    <w:p w14:paraId="564A3A0F" w14:textId="77777777" w:rsidR="00444438" w:rsidRPr="007F2DF5" w:rsidRDefault="00444438" w:rsidP="00444438">
      <w:pPr>
        <w:rPr>
          <w:lang w:val="hr-HR"/>
        </w:rPr>
      </w:pPr>
    </w:p>
    <w:p w14:paraId="78A2480F" w14:textId="77777777" w:rsidR="00444438" w:rsidRPr="007F2DF5" w:rsidRDefault="00444438" w:rsidP="00444438">
      <w:pPr>
        <w:pStyle w:val="Heading1"/>
        <w:rPr>
          <w:lang w:val="hr-HR"/>
        </w:rPr>
      </w:pPr>
      <w:r w:rsidRPr="007F2DF5">
        <w:rPr>
          <w:lang w:val="hr-HR"/>
        </w:rPr>
        <w:t>Uvod</w:t>
      </w:r>
    </w:p>
    <w:p w14:paraId="04B355E6" w14:textId="77777777" w:rsidR="00444438" w:rsidRPr="007F2DF5" w:rsidRDefault="00444438" w:rsidP="00444438">
      <w:pPr>
        <w:rPr>
          <w:lang w:val="hr-HR"/>
        </w:rPr>
      </w:pPr>
    </w:p>
    <w:p w14:paraId="6EF30223" w14:textId="77777777" w:rsidR="00444438" w:rsidRPr="007F2DF5" w:rsidRDefault="00444438" w:rsidP="00444438">
      <w:pPr>
        <w:rPr>
          <w:szCs w:val="24"/>
          <w:lang w:val="hr-HR"/>
        </w:rPr>
      </w:pPr>
      <w:r w:rsidRPr="007F2DF5">
        <w:rPr>
          <w:szCs w:val="24"/>
          <w:lang w:val="hr-HR"/>
        </w:rPr>
        <w:t xml:space="preserve">Plazmu definiramo kao </w:t>
      </w:r>
      <w:proofErr w:type="spellStart"/>
      <w:r w:rsidRPr="007F2DF5">
        <w:rPr>
          <w:szCs w:val="24"/>
          <w:lang w:val="hr-HR"/>
        </w:rPr>
        <w:t>kvazineutralan</w:t>
      </w:r>
      <w:proofErr w:type="spellEnd"/>
      <w:r w:rsidRPr="007F2DF5">
        <w:rPr>
          <w:szCs w:val="24"/>
          <w:lang w:val="hr-HR"/>
        </w:rPr>
        <w:t xml:space="preserve"> plin (promatran u cjelini ne posjeduje električni naboj) sastavljen od ioniziranih i neutralnih čestica, koji pokazuje skupno međudjelovanje čestica zasnovano na </w:t>
      </w:r>
      <w:proofErr w:type="spellStart"/>
      <w:r w:rsidRPr="007F2DF5">
        <w:rPr>
          <w:szCs w:val="24"/>
          <w:lang w:val="hr-HR"/>
        </w:rPr>
        <w:t>Coulombovoj</w:t>
      </w:r>
      <w:proofErr w:type="spellEnd"/>
      <w:r w:rsidRPr="007F2DF5">
        <w:rPr>
          <w:szCs w:val="24"/>
          <w:lang w:val="hr-HR"/>
        </w:rPr>
        <w:t xml:space="preserve"> sili. </w:t>
      </w:r>
    </w:p>
    <w:p w14:paraId="7BA5F1A5" w14:textId="77777777" w:rsidR="00444438" w:rsidRPr="007F2DF5" w:rsidRDefault="00444438" w:rsidP="00444438">
      <w:pPr>
        <w:rPr>
          <w:szCs w:val="24"/>
          <w:lang w:val="hr-HR"/>
        </w:rPr>
      </w:pPr>
      <w:r w:rsidRPr="007F2DF5">
        <w:rPr>
          <w:szCs w:val="24"/>
          <w:lang w:val="hr-HR"/>
        </w:rPr>
        <w:t>Zbog znatnog broja električki nabijenih čestica u plazmi dolazi do elektromagnetskog međudjelovanja na znatno većim udaljenostima.</w:t>
      </w:r>
    </w:p>
    <w:p w14:paraId="28344DBD" w14:textId="77777777" w:rsidR="00444438" w:rsidRPr="007F2DF5" w:rsidRDefault="00444438" w:rsidP="00444438">
      <w:pPr>
        <w:rPr>
          <w:szCs w:val="24"/>
          <w:lang w:val="hr-HR"/>
        </w:rPr>
      </w:pPr>
      <w:r w:rsidRPr="007F2DF5">
        <w:rPr>
          <w:szCs w:val="24"/>
          <w:lang w:val="hr-HR"/>
        </w:rPr>
        <w:t xml:space="preserve">U svakom trenutku čestice tvore zajedničko elektromagnetsko polje i svaka čestica </w:t>
      </w:r>
      <w:proofErr w:type="spellStart"/>
      <w:r w:rsidRPr="007F2DF5">
        <w:rPr>
          <w:szCs w:val="24"/>
          <w:lang w:val="hr-HR"/>
        </w:rPr>
        <w:t>interagira</w:t>
      </w:r>
      <w:proofErr w:type="spellEnd"/>
      <w:r w:rsidRPr="007F2DF5">
        <w:rPr>
          <w:szCs w:val="24"/>
          <w:lang w:val="hr-HR"/>
        </w:rPr>
        <w:t xml:space="preserve"> istodobno sa svim ostalim česticama (skupno međudjelovanje)</w:t>
      </w:r>
      <w:r w:rsidR="00484AE9" w:rsidRPr="007F2DF5">
        <w:rPr>
          <w:szCs w:val="24"/>
          <w:lang w:val="hr-HR"/>
        </w:rPr>
        <w:t>.</w:t>
      </w:r>
    </w:p>
    <w:p w14:paraId="79971CCE" w14:textId="77777777" w:rsidR="00560D99" w:rsidRPr="007F2DF5" w:rsidRDefault="00703882" w:rsidP="00444438">
      <w:pPr>
        <w:rPr>
          <w:szCs w:val="24"/>
          <w:lang w:val="hr-HR"/>
        </w:rPr>
      </w:pPr>
      <w:r w:rsidRPr="007F2DF5">
        <w:rPr>
          <w:szCs w:val="24"/>
          <w:lang w:val="hr-HR"/>
        </w:rPr>
        <w:t xml:space="preserve">Ukoliko </w:t>
      </w:r>
      <w:r w:rsidR="00484AE9" w:rsidRPr="007F2DF5">
        <w:rPr>
          <w:szCs w:val="24"/>
          <w:lang w:val="hr-HR"/>
        </w:rPr>
        <w:t>želimo iskoristiti plazmu kao gorivo</w:t>
      </w:r>
      <w:r w:rsidRPr="007F2DF5">
        <w:rPr>
          <w:szCs w:val="24"/>
          <w:lang w:val="hr-HR"/>
        </w:rPr>
        <w:t xml:space="preserve"> za fuzijsku reakciju, potrebno je osigurati </w:t>
      </w:r>
      <w:r w:rsidR="00484AE9" w:rsidRPr="007F2DF5">
        <w:rPr>
          <w:szCs w:val="24"/>
          <w:lang w:val="hr-HR"/>
        </w:rPr>
        <w:t>sustav</w:t>
      </w:r>
      <w:r w:rsidR="00B513FF" w:rsidRPr="007F2DF5">
        <w:rPr>
          <w:szCs w:val="24"/>
          <w:lang w:val="hr-HR"/>
        </w:rPr>
        <w:t xml:space="preserve"> konstantnog volumena</w:t>
      </w:r>
      <w:r w:rsidR="00484AE9" w:rsidRPr="007F2DF5">
        <w:rPr>
          <w:szCs w:val="24"/>
          <w:lang w:val="hr-HR"/>
        </w:rPr>
        <w:t xml:space="preserve"> u kojem se plazma čuva </w:t>
      </w:r>
      <w:r w:rsidRPr="007F2DF5">
        <w:rPr>
          <w:szCs w:val="24"/>
          <w:lang w:val="hr-HR"/>
        </w:rPr>
        <w:t xml:space="preserve">pod visokom temperaturom i </w:t>
      </w:r>
      <w:r w:rsidR="00484AE9" w:rsidRPr="007F2DF5">
        <w:rPr>
          <w:szCs w:val="24"/>
          <w:lang w:val="hr-HR"/>
        </w:rPr>
        <w:t>bez doticaja s drugom materijom</w:t>
      </w:r>
      <w:r w:rsidR="00DE63CA" w:rsidRPr="007F2DF5">
        <w:rPr>
          <w:szCs w:val="24"/>
          <w:lang w:val="hr-HR"/>
        </w:rPr>
        <w:t>. Zbog navedenih uvjeta</w:t>
      </w:r>
      <w:r w:rsidR="001B66D5" w:rsidRPr="007F2DF5">
        <w:rPr>
          <w:szCs w:val="24"/>
          <w:lang w:val="hr-HR"/>
        </w:rPr>
        <w:t>,</w:t>
      </w:r>
      <w:r w:rsidR="00DE63CA" w:rsidRPr="007F2DF5">
        <w:rPr>
          <w:szCs w:val="24"/>
          <w:lang w:val="hr-HR"/>
        </w:rPr>
        <w:t xml:space="preserve"> </w:t>
      </w:r>
      <w:r w:rsidR="002C0379" w:rsidRPr="007F2DF5">
        <w:rPr>
          <w:szCs w:val="24"/>
          <w:lang w:val="hr-HR"/>
        </w:rPr>
        <w:t>zadržavanje plazme</w:t>
      </w:r>
      <w:r w:rsidR="00DE63CA" w:rsidRPr="007F2DF5">
        <w:rPr>
          <w:szCs w:val="24"/>
          <w:lang w:val="hr-HR"/>
        </w:rPr>
        <w:t xml:space="preserve"> na jednom mjestu nije jednostavan zadatak i</w:t>
      </w:r>
      <w:r w:rsidR="002C0379" w:rsidRPr="007F2DF5">
        <w:rPr>
          <w:szCs w:val="24"/>
          <w:lang w:val="hr-HR"/>
        </w:rPr>
        <w:t xml:space="preserve"> nije moguće osim pomoću posebno dizajniranog uređaja.</w:t>
      </w:r>
    </w:p>
    <w:p w14:paraId="3539002D" w14:textId="77777777" w:rsidR="00135E2B" w:rsidRPr="007F2DF5" w:rsidRDefault="00DE63CA" w:rsidP="00444438">
      <w:pPr>
        <w:rPr>
          <w:szCs w:val="24"/>
          <w:lang w:val="hr-HR"/>
        </w:rPr>
      </w:pPr>
      <w:r w:rsidRPr="007F2DF5">
        <w:rPr>
          <w:szCs w:val="24"/>
          <w:lang w:val="hr-HR"/>
        </w:rPr>
        <w:t xml:space="preserve">Osim toga, potrebno je osigurati da plazma ne izađe iz danog sustava jer je poznato da se čestice plazme u slobodnom stanju gibaju nasumično. Kako se plazma sastoji od nabijenih čestica, magnetsko polje će djelovati na njih i čestice se više neće gibati nasumično. </w:t>
      </w:r>
    </w:p>
    <w:p w14:paraId="66C88334" w14:textId="77777777" w:rsidR="00560D99" w:rsidRPr="007F2DF5" w:rsidRDefault="002C0379">
      <w:pPr>
        <w:rPr>
          <w:szCs w:val="24"/>
          <w:lang w:val="hr-HR"/>
        </w:rPr>
      </w:pPr>
      <w:r w:rsidRPr="007F2DF5">
        <w:rPr>
          <w:szCs w:val="24"/>
          <w:lang w:val="hr-HR"/>
        </w:rPr>
        <w:t>Upravo u tu svrhu</w:t>
      </w:r>
      <w:r w:rsidR="00444438" w:rsidRPr="007F2DF5">
        <w:rPr>
          <w:szCs w:val="24"/>
          <w:lang w:val="hr-HR"/>
        </w:rPr>
        <w:t xml:space="preserve">, stvorena je </w:t>
      </w:r>
      <w:r w:rsidR="00703882" w:rsidRPr="007F2DF5">
        <w:rPr>
          <w:szCs w:val="24"/>
          <w:lang w:val="hr-HR"/>
        </w:rPr>
        <w:t xml:space="preserve">magnetska boca. Magnetska boca </w:t>
      </w:r>
      <w:r w:rsidR="00444438" w:rsidRPr="007F2DF5">
        <w:rPr>
          <w:szCs w:val="24"/>
          <w:lang w:val="hr-HR"/>
        </w:rPr>
        <w:t xml:space="preserve">nije ništa drugo nego slikoviti izraz za magnetsko polje </w:t>
      </w:r>
      <w:proofErr w:type="spellStart"/>
      <w:r w:rsidR="00444438" w:rsidRPr="007F2DF5">
        <w:rPr>
          <w:szCs w:val="24"/>
          <w:lang w:val="hr-HR"/>
        </w:rPr>
        <w:t>kojime</w:t>
      </w:r>
      <w:proofErr w:type="spellEnd"/>
      <w:r w:rsidR="00444438" w:rsidRPr="007F2DF5">
        <w:rPr>
          <w:szCs w:val="24"/>
          <w:lang w:val="hr-HR"/>
        </w:rPr>
        <w:t xml:space="preserve"> se „skladišti“ plazma</w:t>
      </w:r>
      <w:r w:rsidR="00560D99" w:rsidRPr="007F2DF5">
        <w:rPr>
          <w:szCs w:val="24"/>
          <w:lang w:val="hr-HR"/>
        </w:rPr>
        <w:t xml:space="preserve"> visoke temperature (i neke druge nestabilne tvari ili elementarne čestice).</w:t>
      </w:r>
      <w:r w:rsidR="00444438" w:rsidRPr="007F2DF5">
        <w:rPr>
          <w:szCs w:val="24"/>
          <w:lang w:val="hr-HR"/>
        </w:rPr>
        <w:t xml:space="preserve"> </w:t>
      </w:r>
    </w:p>
    <w:p w14:paraId="355E5F52" w14:textId="77777777" w:rsidR="00444438" w:rsidRPr="007F2DF5" w:rsidRDefault="00560D99" w:rsidP="00444438">
      <w:pPr>
        <w:pStyle w:val="Heading1"/>
        <w:rPr>
          <w:lang w:val="hr-HR"/>
        </w:rPr>
      </w:pPr>
      <w:proofErr w:type="spellStart"/>
      <w:r w:rsidRPr="007F2DF5">
        <w:rPr>
          <w:lang w:val="hr-HR"/>
        </w:rPr>
        <w:t>J</w:t>
      </w:r>
      <w:r w:rsidR="00444438" w:rsidRPr="007F2DF5">
        <w:rPr>
          <w:lang w:val="hr-HR"/>
        </w:rPr>
        <w:t>ednočestični</w:t>
      </w:r>
      <w:proofErr w:type="spellEnd"/>
      <w:r w:rsidR="00444438" w:rsidRPr="007F2DF5">
        <w:rPr>
          <w:lang w:val="hr-HR"/>
        </w:rPr>
        <w:t xml:space="preserve"> pristup</w:t>
      </w:r>
    </w:p>
    <w:p w14:paraId="007BA92E" w14:textId="77777777" w:rsidR="00444438" w:rsidRPr="007F2DF5" w:rsidRDefault="00444438" w:rsidP="00444438">
      <w:pPr>
        <w:rPr>
          <w:lang w:val="hr-HR"/>
        </w:rPr>
      </w:pPr>
    </w:p>
    <w:p w14:paraId="2315FBC4" w14:textId="77777777" w:rsidR="00444438" w:rsidRPr="007F2DF5" w:rsidRDefault="00444438" w:rsidP="00444438">
      <w:pPr>
        <w:rPr>
          <w:rFonts w:eastAsiaTheme="minorEastAsia"/>
          <w:lang w:val="hr-HR"/>
        </w:rPr>
      </w:pPr>
      <w:r w:rsidRPr="007F2DF5">
        <w:rPr>
          <w:lang w:val="hr-HR"/>
        </w:rPr>
        <w:t xml:space="preserve">U kontekstu ovog seminara, za promatranje </w:t>
      </w:r>
      <w:proofErr w:type="spellStart"/>
      <w:r w:rsidRPr="007F2DF5">
        <w:rPr>
          <w:lang w:val="hr-HR"/>
        </w:rPr>
        <w:t>plazmenog</w:t>
      </w:r>
      <w:proofErr w:type="spellEnd"/>
      <w:r w:rsidRPr="007F2DF5">
        <w:rPr>
          <w:lang w:val="hr-HR"/>
        </w:rPr>
        <w:t xml:space="preserve"> sustava koristit ćemo </w:t>
      </w:r>
      <w:proofErr w:type="spellStart"/>
      <w:r w:rsidRPr="007F2DF5">
        <w:rPr>
          <w:lang w:val="hr-HR"/>
        </w:rPr>
        <w:t>jednočestični</w:t>
      </w:r>
      <w:proofErr w:type="spellEnd"/>
      <w:r w:rsidRPr="007F2DF5">
        <w:rPr>
          <w:lang w:val="hr-HR"/>
        </w:rPr>
        <w:t xml:space="preserve"> pristup. To je osnovni pristup u kojem se prati gibanje jedne čestice u zadanom električnom i magnetskom polju, a na temelju čega se zaključuje o svojstvima i ponašanju cijelog sustava. Potrebno je napomenuti da takav opis zadovoljava u slučajevima plazme niskih gustoća (</w:t>
      </w:r>
      <m:oMath>
        <m:r>
          <w:rPr>
            <w:rFonts w:ascii="Cambria Math" w:hAnsi="Cambria Math"/>
            <w:lang w:val="hr-HR"/>
          </w:rPr>
          <m:t>n&lt;</m:t>
        </m:r>
        <m:sSup>
          <m:sSupPr>
            <m:ctrlPr>
              <w:rPr>
                <w:rFonts w:ascii="Cambria Math" w:hAnsi="Cambria Math"/>
                <w:i/>
                <w:lang w:val="hr-HR"/>
              </w:rPr>
            </m:ctrlPr>
          </m:sSupPr>
          <m:e>
            <m:r>
              <w:rPr>
                <w:rFonts w:ascii="Cambria Math" w:hAnsi="Cambria Math"/>
                <w:lang w:val="hr-HR"/>
              </w:rPr>
              <m:t>10</m:t>
            </m:r>
          </m:e>
          <m:sup>
            <m:r>
              <w:rPr>
                <w:rFonts w:ascii="Cambria Math" w:hAnsi="Cambria Math"/>
                <w:lang w:val="hr-HR"/>
              </w:rPr>
              <m:t>14</m:t>
            </m:r>
          </m:sup>
        </m:sSup>
        <m:r>
          <w:rPr>
            <w:rFonts w:ascii="Cambria Math" w:hAnsi="Cambria Math"/>
            <w:lang w:val="hr-HR"/>
          </w:rPr>
          <m:t xml:space="preserve"> </m:t>
        </m:r>
        <m:sSup>
          <m:sSupPr>
            <m:ctrlPr>
              <w:rPr>
                <w:rFonts w:ascii="Cambria Math" w:hAnsi="Cambria Math"/>
                <w:lang w:val="hr-H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hr-HR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hr-HR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lang w:val="hr-HR"/>
          </w:rPr>
          <m:t xml:space="preserve"> </m:t>
        </m:r>
      </m:oMath>
      <w:r w:rsidRPr="007F2DF5">
        <w:rPr>
          <w:rFonts w:eastAsiaTheme="minorEastAsia"/>
          <w:lang w:val="hr-HR"/>
        </w:rPr>
        <w:t>), kada se može zanemariti d</w:t>
      </w:r>
      <w:proofErr w:type="spellStart"/>
      <w:r w:rsidRPr="007F2DF5">
        <w:rPr>
          <w:rFonts w:eastAsiaTheme="minorEastAsia"/>
          <w:lang w:val="hr-HR"/>
        </w:rPr>
        <w:t>oprinos</w:t>
      </w:r>
      <w:proofErr w:type="spellEnd"/>
      <w:r w:rsidRPr="007F2DF5">
        <w:rPr>
          <w:rFonts w:eastAsiaTheme="minorEastAsia"/>
          <w:lang w:val="hr-HR"/>
        </w:rPr>
        <w:t xml:space="preserve"> čestica ukupnom električnom i magnetskom polju.</w:t>
      </w:r>
    </w:p>
    <w:p w14:paraId="1D684E92" w14:textId="77777777" w:rsidR="00444438" w:rsidRPr="007F2DF5" w:rsidRDefault="00444438" w:rsidP="00444438">
      <w:pPr>
        <w:rPr>
          <w:rFonts w:eastAsiaTheme="minorEastAsia"/>
          <w:lang w:val="hr-HR"/>
        </w:rPr>
      </w:pPr>
      <w:proofErr w:type="spellStart"/>
      <w:r w:rsidRPr="007F2DF5">
        <w:rPr>
          <w:rFonts w:eastAsiaTheme="minorEastAsia"/>
          <w:lang w:val="hr-HR"/>
        </w:rPr>
        <w:lastRenderedPageBreak/>
        <w:t>Jednočestični</w:t>
      </w:r>
      <w:proofErr w:type="spellEnd"/>
      <w:r w:rsidRPr="007F2DF5">
        <w:rPr>
          <w:rFonts w:eastAsiaTheme="minorEastAsia"/>
          <w:lang w:val="hr-HR"/>
        </w:rPr>
        <w:t xml:space="preserve"> pristup može se primijeniti za kvalitativni opis </w:t>
      </w:r>
      <w:proofErr w:type="spellStart"/>
      <w:r w:rsidRPr="007F2DF5">
        <w:rPr>
          <w:rFonts w:eastAsiaTheme="minorEastAsia"/>
          <w:lang w:val="hr-HR"/>
        </w:rPr>
        <w:t>driftnih</w:t>
      </w:r>
      <w:proofErr w:type="spellEnd"/>
      <w:r w:rsidRPr="007F2DF5">
        <w:rPr>
          <w:rFonts w:eastAsiaTheme="minorEastAsia"/>
          <w:lang w:val="hr-HR"/>
        </w:rPr>
        <w:t xml:space="preserve"> gibanja nabijenih čestica u magnetskom i gravitacijskom polju Zemlje, elektronskih snopova u Sunčevoj atmosferi itd. </w:t>
      </w:r>
    </w:p>
    <w:p w14:paraId="459AF724" w14:textId="77777777" w:rsidR="00444438" w:rsidRPr="007F2DF5" w:rsidRDefault="00444438" w:rsidP="00444438">
      <w:pPr>
        <w:rPr>
          <w:lang w:val="hr-HR"/>
        </w:rPr>
      </w:pPr>
      <w:r w:rsidRPr="007F2DF5">
        <w:rPr>
          <w:lang w:val="hr-HR"/>
        </w:rPr>
        <w:t xml:space="preserve">Pri opisu ponašanje čestice koristit ćemo pojednostavljene </w:t>
      </w:r>
      <w:proofErr w:type="spellStart"/>
      <w:r w:rsidRPr="007F2DF5">
        <w:rPr>
          <w:lang w:val="hr-HR"/>
        </w:rPr>
        <w:t>Maxwellove</w:t>
      </w:r>
      <w:proofErr w:type="spellEnd"/>
      <w:r w:rsidRPr="007F2DF5">
        <w:rPr>
          <w:lang w:val="hr-HR"/>
        </w:rPr>
        <w:t xml:space="preserve"> jednadžbe:</w:t>
      </w:r>
    </w:p>
    <w:p w14:paraId="6507F5D5" w14:textId="77777777" w:rsidR="00444438" w:rsidRPr="007F2DF5" w:rsidRDefault="00444438" w:rsidP="00444438">
      <w:pPr>
        <w:rPr>
          <w:rFonts w:eastAsiaTheme="minorEastAsia"/>
          <w:i/>
          <w:lang w:val="hr-H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r-HR"/>
            </w:rPr>
            <m:t>∇</m:t>
          </m:r>
          <m:r>
            <m:rPr>
              <m:sty m:val="bi"/>
            </m:rPr>
            <w:rPr>
              <w:rFonts w:ascii="Cambria Math" w:hAnsi="Cambria Math"/>
              <w:lang w:val="hr-HR"/>
            </w:rPr>
            <m:t>E=</m:t>
          </m:r>
          <m:r>
            <w:rPr>
              <w:rFonts w:ascii="Cambria Math" w:hAnsi="Cambria Math"/>
              <w:lang w:val="hr-HR"/>
            </w:rPr>
            <m:t>0</m:t>
          </m:r>
        </m:oMath>
      </m:oMathPara>
    </w:p>
    <w:p w14:paraId="7D6ED520" w14:textId="77777777" w:rsidR="00444438" w:rsidRPr="007F2DF5" w:rsidRDefault="00444438" w:rsidP="00444438">
      <w:pPr>
        <w:rPr>
          <w:rFonts w:eastAsiaTheme="minorEastAsia"/>
          <w:b/>
          <w:i/>
          <w:lang w:val="hr-H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r-HR"/>
            </w:rPr>
            <m:t>∇</m:t>
          </m:r>
          <m:r>
            <m:rPr>
              <m:sty m:val="bi"/>
            </m:rPr>
            <w:rPr>
              <w:rFonts w:ascii="Cambria Math" w:hAnsi="Cambria Math"/>
              <w:lang w:val="hr-HR"/>
            </w:rPr>
            <m:t xml:space="preserve">×E = </m:t>
          </m:r>
          <m:f>
            <m:fPr>
              <m:ctrlPr>
                <w:rPr>
                  <w:rFonts w:ascii="Cambria Math" w:hAnsi="Cambria Math"/>
                  <w:b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-∂</m:t>
              </m:r>
              <m:r>
                <m:rPr>
                  <m:sty m:val="bi"/>
                </m:rPr>
                <w:rPr>
                  <w:rFonts w:ascii="Cambria Math" w:hAnsi="Cambria Math"/>
                  <w:lang w:val="hr-HR"/>
                </w:rPr>
                <m:t>B</m:t>
              </m:r>
            </m:num>
            <m:den>
              <m:r>
                <w:rPr>
                  <w:rFonts w:ascii="Cambria Math" w:hAnsi="Cambria Math"/>
                  <w:lang w:val="hr-HR"/>
                </w:rPr>
                <m:t>∂t</m:t>
              </m:r>
            </m:den>
          </m:f>
        </m:oMath>
      </m:oMathPara>
    </w:p>
    <w:p w14:paraId="1FF32A48" w14:textId="77777777" w:rsidR="00444438" w:rsidRPr="007F2DF5" w:rsidRDefault="00444438" w:rsidP="00444438">
      <w:pPr>
        <w:rPr>
          <w:rFonts w:eastAsiaTheme="minorEastAsia"/>
          <w:i/>
          <w:lang w:val="hr-H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r-HR"/>
            </w:rPr>
            <m:t>∇</m:t>
          </m:r>
          <m:r>
            <m:rPr>
              <m:sty m:val="bi"/>
            </m:rPr>
            <w:rPr>
              <w:rFonts w:ascii="Cambria Math" w:hAnsi="Cambria Math"/>
              <w:lang w:val="hr-HR"/>
            </w:rPr>
            <m:t>B=</m:t>
          </m:r>
          <m:r>
            <w:rPr>
              <w:rFonts w:ascii="Cambria Math" w:hAnsi="Cambria Math"/>
              <w:lang w:val="hr-HR"/>
            </w:rPr>
            <m:t>0</m:t>
          </m:r>
        </m:oMath>
      </m:oMathPara>
    </w:p>
    <w:p w14:paraId="4EA9D729" w14:textId="77777777" w:rsidR="00444438" w:rsidRPr="007F2DF5" w:rsidRDefault="00444438" w:rsidP="00444438">
      <w:pPr>
        <w:rPr>
          <w:rFonts w:eastAsiaTheme="minorEastAsia"/>
          <w:b/>
          <w:i/>
          <w:lang w:val="hr-H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r-HR"/>
            </w:rPr>
            <m:t>∇</m:t>
          </m:r>
          <m:r>
            <m:rPr>
              <m:sty m:val="bi"/>
            </m:rPr>
            <w:rPr>
              <w:rFonts w:ascii="Cambria Math" w:hAnsi="Cambria Math"/>
              <w:lang w:val="hr-HR"/>
            </w:rPr>
            <m:t xml:space="preserve">×B = </m:t>
          </m:r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ε</m:t>
              </m:r>
            </m:e>
            <m:sub>
              <m:r>
                <w:rPr>
                  <w:rFonts w:ascii="Cambria Math" w:hAnsi="Cambria Math"/>
                  <w:lang w:val="hr-HR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hr-HR"/>
                </w:rPr>
              </m:ctrlPr>
            </m:sSubPr>
            <m:e>
              <m:r>
                <w:rPr>
                  <w:rFonts w:ascii="Cambria Math" w:hAnsi="Cambria Math"/>
                  <w:lang w:val="hr-HR"/>
                </w:rPr>
                <m:t>μ</m:t>
              </m:r>
            </m:e>
            <m:sub>
              <m:r>
                <w:rPr>
                  <w:rFonts w:ascii="Cambria Math" w:hAnsi="Cambria Math"/>
                  <w:lang w:val="hr-HR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b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lang w:val="hr-HR"/>
                </w:rPr>
                <m:t>E</m:t>
              </m:r>
            </m:num>
            <m:den>
              <m:r>
                <w:rPr>
                  <w:rFonts w:ascii="Cambria Math" w:hAnsi="Cambria Math"/>
                  <w:lang w:val="hr-HR"/>
                </w:rPr>
                <m:t>∂t</m:t>
              </m:r>
            </m:den>
          </m:f>
        </m:oMath>
      </m:oMathPara>
    </w:p>
    <w:p w14:paraId="64B012EA" w14:textId="77777777" w:rsidR="00444438" w:rsidRPr="007F2DF5" w:rsidRDefault="00444438" w:rsidP="00444438">
      <w:pPr>
        <w:rPr>
          <w:rFonts w:eastAsiaTheme="minorEastAsia"/>
          <w:b/>
          <w:i/>
          <w:lang w:val="hr-HR"/>
        </w:rPr>
      </w:pPr>
    </w:p>
    <w:p w14:paraId="51D27EBD" w14:textId="77777777" w:rsidR="00444438" w:rsidRPr="007F2DF5" w:rsidRDefault="00135E2B" w:rsidP="00444438">
      <w:pPr>
        <w:rPr>
          <w:rFonts w:eastAsiaTheme="minorEastAsia"/>
          <w:lang w:val="hr-HR"/>
        </w:rPr>
      </w:pPr>
      <w:r w:rsidRPr="007F2DF5">
        <w:rPr>
          <w:rFonts w:eastAsiaTheme="minorEastAsia"/>
          <w:lang w:val="hr-HR"/>
        </w:rPr>
        <w:t xml:space="preserve">Drugim riječima, </w:t>
      </w:r>
      <w:r w:rsidR="00444438" w:rsidRPr="007F2DF5">
        <w:rPr>
          <w:rFonts w:eastAsiaTheme="minorEastAsia"/>
          <w:lang w:val="hr-HR"/>
        </w:rPr>
        <w:t xml:space="preserve">pretpostavljamo da čestice </w:t>
      </w:r>
      <w:r w:rsidR="00683C2F" w:rsidRPr="007F2DF5">
        <w:rPr>
          <w:rFonts w:eastAsiaTheme="minorEastAsia"/>
          <w:lang w:val="hr-HR"/>
        </w:rPr>
        <w:t>plazme nisu izvori električnog i</w:t>
      </w:r>
      <w:r w:rsidR="00444438" w:rsidRPr="007F2DF5">
        <w:rPr>
          <w:rFonts w:eastAsiaTheme="minorEastAsia"/>
          <w:lang w:val="hr-HR"/>
        </w:rPr>
        <w:t xml:space="preserve"> magnetskog polja.</w:t>
      </w:r>
    </w:p>
    <w:p w14:paraId="1354E970" w14:textId="77777777" w:rsidR="00560D99" w:rsidRPr="007F2DF5" w:rsidRDefault="00560D99" w:rsidP="00444438">
      <w:pPr>
        <w:rPr>
          <w:rFonts w:eastAsiaTheme="minorEastAsia"/>
          <w:lang w:val="hr-HR"/>
        </w:rPr>
      </w:pPr>
    </w:p>
    <w:p w14:paraId="3B8C19D2" w14:textId="77777777" w:rsidR="00444438" w:rsidRPr="007F2DF5" w:rsidRDefault="00444438" w:rsidP="00444438">
      <w:pPr>
        <w:pStyle w:val="Heading1"/>
        <w:rPr>
          <w:lang w:val="hr-HR"/>
        </w:rPr>
      </w:pPr>
      <w:r w:rsidRPr="007F2DF5">
        <w:rPr>
          <w:lang w:val="hr-HR"/>
        </w:rPr>
        <w:t>Magnetsko zrcalo I magnetska boca</w:t>
      </w:r>
    </w:p>
    <w:p w14:paraId="08C7669B" w14:textId="77777777" w:rsidR="00444438" w:rsidRPr="007F2DF5" w:rsidRDefault="00444438" w:rsidP="00444438">
      <w:pPr>
        <w:rPr>
          <w:lang w:val="hr-HR"/>
        </w:rPr>
      </w:pPr>
    </w:p>
    <w:p w14:paraId="64B80F90" w14:textId="77777777" w:rsidR="00444438" w:rsidRPr="007F2DF5" w:rsidRDefault="00444438" w:rsidP="00444438">
      <w:pPr>
        <w:rPr>
          <w:lang w:val="hr-HR"/>
        </w:rPr>
      </w:pPr>
      <w:r w:rsidRPr="007F2DF5">
        <w:rPr>
          <w:lang w:val="hr-HR"/>
        </w:rPr>
        <w:t xml:space="preserve">Pojam </w:t>
      </w:r>
      <w:r w:rsidR="00703882" w:rsidRPr="007F2DF5">
        <w:rPr>
          <w:lang w:val="hr-HR"/>
        </w:rPr>
        <w:t xml:space="preserve">magnetskog zrcala usko je </w:t>
      </w:r>
      <w:r w:rsidRPr="007F2DF5">
        <w:rPr>
          <w:lang w:val="hr-HR"/>
        </w:rPr>
        <w:t>vezan uz pojam magnetske boce stoga ćemo prvo opisati njegova osnovna načela. Specifičnost</w:t>
      </w:r>
      <w:r w:rsidR="00484AE9" w:rsidRPr="007F2DF5">
        <w:rPr>
          <w:lang w:val="hr-HR"/>
        </w:rPr>
        <w:t xml:space="preserve"> magnetskog zrcala</w:t>
      </w:r>
      <w:r w:rsidRPr="007F2DF5">
        <w:rPr>
          <w:lang w:val="hr-HR"/>
        </w:rPr>
        <w:t xml:space="preserve"> je što</w:t>
      </w:r>
      <w:r w:rsidR="00B513FF" w:rsidRPr="007F2DF5">
        <w:rPr>
          <w:lang w:val="hr-HR"/>
        </w:rPr>
        <w:t xml:space="preserve"> pripadno</w:t>
      </w:r>
      <w:r w:rsidRPr="007F2DF5">
        <w:rPr>
          <w:lang w:val="hr-HR"/>
        </w:rPr>
        <w:t xml:space="preserve"> magnetskog polje nije homogeno, </w:t>
      </w:r>
      <w:r w:rsidR="00484AE9" w:rsidRPr="007F2DF5">
        <w:rPr>
          <w:lang w:val="hr-HR"/>
        </w:rPr>
        <w:t>drugim riječima</w:t>
      </w:r>
      <w:r w:rsidRPr="007F2DF5">
        <w:rPr>
          <w:lang w:val="hr-HR"/>
        </w:rPr>
        <w:t xml:space="preserve"> gustoća magnetskih silnica različita </w:t>
      </w:r>
      <w:r w:rsidR="00135E2B" w:rsidRPr="007F2DF5">
        <w:rPr>
          <w:lang w:val="hr-HR"/>
        </w:rPr>
        <w:t xml:space="preserve">je </w:t>
      </w:r>
      <w:r w:rsidR="00484AE9" w:rsidRPr="007F2DF5">
        <w:rPr>
          <w:lang w:val="hr-HR"/>
        </w:rPr>
        <w:t>u</w:t>
      </w:r>
      <w:r w:rsidRPr="007F2DF5">
        <w:rPr>
          <w:lang w:val="hr-HR"/>
        </w:rPr>
        <w:t xml:space="preserve"> </w:t>
      </w:r>
      <w:proofErr w:type="spellStart"/>
      <w:r w:rsidRPr="007F2DF5">
        <w:rPr>
          <w:lang w:val="hr-HR"/>
        </w:rPr>
        <w:t>pojednim</w:t>
      </w:r>
      <w:proofErr w:type="spellEnd"/>
      <w:r w:rsidRPr="007F2DF5">
        <w:rPr>
          <w:lang w:val="hr-HR"/>
        </w:rPr>
        <w:t xml:space="preserve"> točkama. </w:t>
      </w:r>
    </w:p>
    <w:p w14:paraId="0439FD8E" w14:textId="77777777" w:rsidR="00560D99" w:rsidRPr="007F2DF5" w:rsidRDefault="00560D99" w:rsidP="00560D99">
      <w:pPr>
        <w:jc w:val="center"/>
        <w:rPr>
          <w:lang w:val="hr-HR"/>
        </w:rPr>
      </w:pPr>
      <w:r w:rsidRPr="007F2DF5">
        <w:rPr>
          <w:noProof/>
          <w:lang w:val="hr-HR" w:eastAsia="hr-HR"/>
        </w:rPr>
        <w:drawing>
          <wp:inline distT="0" distB="0" distL="0" distR="0" wp14:anchorId="7D3CCF95" wp14:editId="20F494BF">
            <wp:extent cx="2165985" cy="1796415"/>
            <wp:effectExtent l="19050" t="0" r="5715" b="0"/>
            <wp:docPr id="21" name="Picture 4" descr="Image result for magnetska b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magnetska boc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0D5D3" w14:textId="77777777" w:rsidR="00560D99" w:rsidRPr="007F2DF5" w:rsidRDefault="00560D99" w:rsidP="00560D99">
      <w:pPr>
        <w:jc w:val="center"/>
        <w:rPr>
          <w:lang w:val="hr-HR"/>
        </w:rPr>
      </w:pPr>
      <w:r w:rsidRPr="007F2DF5">
        <w:rPr>
          <w:lang w:val="hr-HR"/>
        </w:rPr>
        <w:t>Slika 1. Magnetsko zrcalo</w:t>
      </w:r>
    </w:p>
    <w:p w14:paraId="63D7E40E" w14:textId="77777777" w:rsidR="00560D99" w:rsidRPr="007F2DF5" w:rsidRDefault="00560D99" w:rsidP="00444438">
      <w:pPr>
        <w:rPr>
          <w:lang w:val="hr-HR"/>
        </w:rPr>
      </w:pPr>
    </w:p>
    <w:p w14:paraId="6C54D635" w14:textId="77777777" w:rsidR="00560D99" w:rsidRPr="007F2DF5" w:rsidRDefault="00444438" w:rsidP="00444438">
      <w:pPr>
        <w:rPr>
          <w:lang w:val="hr-HR"/>
        </w:rPr>
      </w:pPr>
      <w:r w:rsidRPr="007F2DF5">
        <w:rPr>
          <w:lang w:val="hr-HR"/>
        </w:rPr>
        <w:t xml:space="preserve">Ako promatramo način gibanja nabijene čestice koja pod nekim </w:t>
      </w:r>
      <w:proofErr w:type="spellStart"/>
      <w:r w:rsidRPr="007F2DF5">
        <w:rPr>
          <w:lang w:val="hr-HR"/>
        </w:rPr>
        <w:t>kut</w:t>
      </w:r>
      <w:bookmarkStart w:id="0" w:name="_GoBack"/>
      <w:bookmarkEnd w:id="0"/>
      <w:r w:rsidRPr="007F2DF5">
        <w:rPr>
          <w:lang w:val="hr-HR"/>
        </w:rPr>
        <w:t>em</w:t>
      </w:r>
      <w:proofErr w:type="spellEnd"/>
      <w:r w:rsidRPr="007F2DF5">
        <w:rPr>
          <w:lang w:val="hr-HR"/>
        </w:rPr>
        <w:t xml:space="preserve"> “uleti” u polje magnetskog zrcala, primijetit ćemo da njezino gibanje</w:t>
      </w:r>
      <w:r w:rsidR="00B513FF" w:rsidRPr="007F2DF5">
        <w:rPr>
          <w:lang w:val="hr-HR"/>
        </w:rPr>
        <w:t xml:space="preserve"> neće biti obično kružno gibanje. Naime, zbog utjecaja </w:t>
      </w:r>
      <w:proofErr w:type="spellStart"/>
      <w:r w:rsidR="00B513FF" w:rsidRPr="007F2DF5">
        <w:rPr>
          <w:lang w:val="hr-HR"/>
        </w:rPr>
        <w:t>Lorentzove</w:t>
      </w:r>
      <w:proofErr w:type="spellEnd"/>
      <w:r w:rsidR="00B513FF" w:rsidRPr="007F2DF5">
        <w:rPr>
          <w:lang w:val="hr-HR"/>
        </w:rPr>
        <w:t xml:space="preserve"> sile, putanja čestice</w:t>
      </w:r>
      <w:r w:rsidRPr="007F2DF5">
        <w:rPr>
          <w:lang w:val="hr-HR"/>
        </w:rPr>
        <w:t xml:space="preserve"> </w:t>
      </w:r>
      <w:r w:rsidR="00B513FF" w:rsidRPr="007F2DF5">
        <w:rPr>
          <w:lang w:val="hr-HR"/>
        </w:rPr>
        <w:t>tvorit će</w:t>
      </w:r>
      <w:r w:rsidRPr="007F2DF5">
        <w:rPr>
          <w:lang w:val="hr-HR"/>
        </w:rPr>
        <w:t xml:space="preserve"> </w:t>
      </w:r>
      <w:proofErr w:type="spellStart"/>
      <w:r w:rsidRPr="007F2DF5">
        <w:rPr>
          <w:lang w:val="hr-HR"/>
        </w:rPr>
        <w:t>helikoidu</w:t>
      </w:r>
      <w:proofErr w:type="spellEnd"/>
      <w:r w:rsidRPr="007F2DF5">
        <w:rPr>
          <w:lang w:val="hr-HR"/>
        </w:rPr>
        <w:t xml:space="preserve">, tj. radijus </w:t>
      </w:r>
      <w:r w:rsidRPr="007F2DF5">
        <w:rPr>
          <w:lang w:val="hr-HR"/>
        </w:rPr>
        <w:lastRenderedPageBreak/>
        <w:t xml:space="preserve">kružnog gibanja će se smanjivati dok god okomita komponenta </w:t>
      </w:r>
      <w:proofErr w:type="spellStart"/>
      <w:r w:rsidRPr="007F2DF5">
        <w:rPr>
          <w:lang w:val="hr-HR"/>
        </w:rPr>
        <w:t>Lorentzove</w:t>
      </w:r>
      <w:proofErr w:type="spellEnd"/>
      <w:r w:rsidRPr="007F2DF5">
        <w:rPr>
          <w:lang w:val="hr-HR"/>
        </w:rPr>
        <w:t xml:space="preserve"> sile ne postane negativna (dok ne promijeni smjer). Zbog ovog će efekta gibanje čestice</w:t>
      </w:r>
      <w:r w:rsidR="001B66D5" w:rsidRPr="007F2DF5">
        <w:rPr>
          <w:lang w:val="hr-HR"/>
        </w:rPr>
        <w:t xml:space="preserve"> u nekom trenutku</w:t>
      </w:r>
      <w:r w:rsidRPr="007F2DF5">
        <w:rPr>
          <w:lang w:val="hr-HR"/>
        </w:rPr>
        <w:t xml:space="preserve"> naglo promijeniti smjer te će to izgledati kao da je čestica „udarila“ prepreku i odbila se (reflektirala se). Zato se ovaj efekt zove efekt magnetskog zrcala. Putanja gibanja čestice ilustrirana je na Slici 1.</w:t>
      </w:r>
    </w:p>
    <w:p w14:paraId="0DAAA964" w14:textId="77777777" w:rsidR="00444438" w:rsidRPr="007F2DF5" w:rsidRDefault="00444438" w:rsidP="00444438">
      <w:pPr>
        <w:rPr>
          <w:lang w:val="hr-HR"/>
        </w:rPr>
      </w:pPr>
      <w:r w:rsidRPr="007F2DF5">
        <w:rPr>
          <w:lang w:val="hr-HR"/>
        </w:rPr>
        <w:t>Magnetska boca je u tom kontekstu „tvore</w:t>
      </w:r>
      <w:r w:rsidR="0080243F" w:rsidRPr="007F2DF5">
        <w:rPr>
          <w:lang w:val="hr-HR"/>
        </w:rPr>
        <w:t>vina“ od dva magnetska zrcala čije</w:t>
      </w:r>
      <w:r w:rsidRPr="007F2DF5">
        <w:rPr>
          <w:lang w:val="hr-HR"/>
        </w:rPr>
        <w:t xml:space="preserve"> silnice magnetskog polja poprimaju oblik valjka suženog na oba kraja. Ovakav oblik silnica omogućava kontinuirano spiralno gibanje čestice od jednog do drugog kraja i natrag, bez mogućnosti izlaska čestice što je ilustrirano na Slici 2.</w:t>
      </w:r>
    </w:p>
    <w:p w14:paraId="673117CD" w14:textId="77777777" w:rsidR="00444438" w:rsidRPr="007F2DF5" w:rsidRDefault="00444438" w:rsidP="00444438">
      <w:pPr>
        <w:rPr>
          <w:lang w:val="hr-HR"/>
        </w:rPr>
      </w:pPr>
    </w:p>
    <w:p w14:paraId="616AEF55" w14:textId="77777777" w:rsidR="00444438" w:rsidRPr="007F2DF5" w:rsidRDefault="00444438" w:rsidP="00444438">
      <w:pPr>
        <w:jc w:val="center"/>
        <w:rPr>
          <w:i/>
          <w:szCs w:val="24"/>
          <w:lang w:val="hr-HR"/>
        </w:rPr>
      </w:pPr>
      <w:r w:rsidRPr="007F2DF5">
        <w:rPr>
          <w:noProof/>
          <w:lang w:val="hr-HR" w:eastAsia="hr-HR"/>
        </w:rPr>
        <w:drawing>
          <wp:inline distT="0" distB="0" distL="0" distR="0" wp14:anchorId="61FB228D" wp14:editId="7A6959C7">
            <wp:extent cx="5143500" cy="2720340"/>
            <wp:effectExtent l="19050" t="0" r="0" b="0"/>
            <wp:docPr id="19" name="Picture 1" descr="axtCjRX.png (540×2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xtCjRX.png (540×286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C843E" w14:textId="77777777" w:rsidR="00444438" w:rsidRPr="007F2DF5" w:rsidRDefault="00444438" w:rsidP="00444438">
      <w:pPr>
        <w:jc w:val="center"/>
        <w:rPr>
          <w:lang w:val="hr-HR"/>
        </w:rPr>
      </w:pPr>
      <w:r w:rsidRPr="007F2DF5">
        <w:rPr>
          <w:lang w:val="hr-HR"/>
        </w:rPr>
        <w:t>Slika 2. Magnetska boca</w:t>
      </w:r>
    </w:p>
    <w:p w14:paraId="041A1BBD" w14:textId="77777777" w:rsidR="00560D99" w:rsidRPr="007F2DF5" w:rsidRDefault="00560D99" w:rsidP="00444438">
      <w:pPr>
        <w:jc w:val="center"/>
        <w:rPr>
          <w:lang w:val="hr-HR"/>
        </w:rPr>
      </w:pPr>
    </w:p>
    <w:p w14:paraId="78A6D3A2" w14:textId="77777777" w:rsidR="00560D99" w:rsidRPr="007F2DF5" w:rsidRDefault="00560D99" w:rsidP="00560D99">
      <w:pPr>
        <w:rPr>
          <w:rFonts w:eastAsiaTheme="minorEastAsia"/>
          <w:lang w:val="hr-HR"/>
        </w:rPr>
      </w:pPr>
      <w:r w:rsidRPr="007F2DF5">
        <w:rPr>
          <w:rFonts w:eastAsiaTheme="minorEastAsia"/>
          <w:lang w:val="hr-HR"/>
        </w:rPr>
        <w:t xml:space="preserve">Čestice u boci nazivaju se zarobljenim česticama. To načelo temelj je svih pokusa u kojima se plazma ispituje kao sustav „fizički“ odvojen od okoliša. </w:t>
      </w:r>
    </w:p>
    <w:p w14:paraId="3311F3F9" w14:textId="77777777" w:rsidR="00560D99" w:rsidRPr="007F2DF5" w:rsidRDefault="00560D99" w:rsidP="00560D99">
      <w:pPr>
        <w:spacing w:line="240" w:lineRule="auto"/>
        <w:rPr>
          <w:lang w:val="hr-HR"/>
        </w:rPr>
      </w:pPr>
      <w:r w:rsidRPr="007F2DF5">
        <w:rPr>
          <w:lang w:val="hr-HR"/>
        </w:rPr>
        <w:t>Naravno, ovakav efekt u stvarnosti nije idealan, jer još nije konstruirana magnetska boca koja će uistinu zadržati sve čestice unutar sebe.</w:t>
      </w:r>
    </w:p>
    <w:p w14:paraId="52C976B1" w14:textId="77777777" w:rsidR="00444438" w:rsidRPr="007F2DF5" w:rsidRDefault="00444438" w:rsidP="00444438">
      <w:pPr>
        <w:rPr>
          <w:rFonts w:eastAsiaTheme="minorEastAsia"/>
          <w:lang w:val="hr-HR"/>
        </w:rPr>
      </w:pPr>
      <w:r w:rsidRPr="007F2DF5">
        <w:rPr>
          <w:rFonts w:eastAsiaTheme="minorEastAsia"/>
          <w:lang w:val="hr-HR"/>
        </w:rPr>
        <w:t xml:space="preserve">To znači da se ne događa refleksija za sve čestice. Označimo sada 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lang w:val="hr-H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hr-HR"/>
              </w:rPr>
              <m:t>0</m:t>
            </m:r>
          </m:sub>
        </m:sSub>
      </m:oMath>
      <w:r w:rsidRPr="007F2DF5">
        <w:rPr>
          <w:rFonts w:eastAsiaTheme="minorEastAsia"/>
          <w:lang w:val="hr-HR"/>
        </w:rPr>
        <w:t xml:space="preserve"> polje u središnjim dijelovima magnetske boce, a 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lang w:val="hr-H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hr-HR"/>
              </w:rPr>
              <m:t>m</m:t>
            </m:r>
          </m:sub>
        </m:sSub>
      </m:oMath>
      <w:r w:rsidRPr="007F2DF5">
        <w:rPr>
          <w:rFonts w:eastAsiaTheme="minorEastAsia"/>
          <w:lang w:val="hr-HR"/>
        </w:rPr>
        <w:t xml:space="preserve"> magnetsko polje u grliću boce te 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lang w:val="hr-H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hr-HR"/>
              </w:rPr>
              <m:t>T</m:t>
            </m:r>
          </m:sub>
        </m:sSub>
      </m:oMath>
      <w:r w:rsidRPr="007F2DF5">
        <w:rPr>
          <w:rFonts w:eastAsiaTheme="minorEastAsia"/>
          <w:lang w:val="hr-HR"/>
        </w:rPr>
        <w:t xml:space="preserve"> magnetsko polje u točki zrcaljenja te definirajmo:</w:t>
      </w:r>
    </w:p>
    <w:p w14:paraId="15DB38F9" w14:textId="77777777" w:rsidR="00444438" w:rsidRPr="007F2DF5" w:rsidRDefault="007F2DF5" w:rsidP="00444438">
      <w:pPr>
        <w:jc w:val="center"/>
        <w:rPr>
          <w:rFonts w:eastAsiaTheme="minorEastAsia"/>
          <w:i/>
          <w:szCs w:val="24"/>
          <w:lang w:val="hr-HR"/>
        </w:rPr>
      </w:pPr>
      <m:oMath>
        <m:f>
          <m:fPr>
            <m:ctrlPr>
              <w:rPr>
                <w:rFonts w:ascii="Cambria Math" w:hAnsi="Cambria Math"/>
                <w:i/>
                <w:szCs w:val="24"/>
                <w:lang w:val="hr-H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r-H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hr-HR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r-H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hr-HR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Cs w:val="24"/>
            <w:lang w:val="hr-HR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hr-H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  <w:lang w:val="hr-H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hr-HR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Cs w:val="24"/>
                    <w:lang w:val="hr-HR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Cs w:val="24"/>
                <w:lang w:val="hr-HR"/>
              </w:rPr>
              <m:t>ϑ</m:t>
            </m:r>
          </m:e>
        </m:func>
      </m:oMath>
      <w:r w:rsidR="00444438" w:rsidRPr="007F2DF5">
        <w:rPr>
          <w:rFonts w:eastAsiaTheme="minorEastAsia"/>
          <w:i/>
          <w:szCs w:val="24"/>
          <w:lang w:val="hr-HR"/>
        </w:rPr>
        <w:t>,</w:t>
      </w:r>
    </w:p>
    <w:p w14:paraId="162565AD" w14:textId="77777777" w:rsidR="00444438" w:rsidRPr="007F2DF5" w:rsidRDefault="00444438" w:rsidP="00444438">
      <w:pPr>
        <w:rPr>
          <w:rFonts w:eastAsiaTheme="minorEastAsia"/>
          <w:lang w:val="hr-HR"/>
        </w:rPr>
      </w:pPr>
      <w:r w:rsidRPr="007F2DF5">
        <w:rPr>
          <w:rFonts w:eastAsiaTheme="minorEastAsia"/>
          <w:szCs w:val="24"/>
          <w:lang w:val="hr-HR"/>
        </w:rPr>
        <w:t xml:space="preserve">gdje je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hr-HR"/>
          </w:rPr>
          <m:t>ϑ</m:t>
        </m:r>
      </m:oMath>
      <w:r w:rsidRPr="007F2DF5">
        <w:rPr>
          <w:rFonts w:eastAsiaTheme="minorEastAsia"/>
          <w:szCs w:val="24"/>
          <w:lang w:val="hr-HR"/>
        </w:rPr>
        <w:t xml:space="preserve"> kut uspona helikoide koja opisuje putanju pri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lang w:val="hr-H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hr-HR"/>
              </w:rPr>
              <m:t>0</m:t>
            </m:r>
          </m:sub>
        </m:sSub>
      </m:oMath>
      <w:r w:rsidRPr="007F2DF5">
        <w:rPr>
          <w:rFonts w:eastAsiaTheme="minorEastAsia"/>
          <w:lang w:val="hr-HR"/>
        </w:rPr>
        <w:t xml:space="preserve">. Za čestice s manjim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hr-HR"/>
          </w:rPr>
          <m:t>ϑ</m:t>
        </m:r>
      </m:oMath>
      <w:r w:rsidRPr="007F2DF5">
        <w:rPr>
          <w:rFonts w:eastAsiaTheme="minorEastAsia"/>
          <w:szCs w:val="24"/>
          <w:lang w:val="hr-HR"/>
        </w:rPr>
        <w:t xml:space="preserve"> zrcaljenje će biti “dublje” u području jačeg magnetskog polja. Zamijenimo li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lang w:val="hr-H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hr-HR"/>
              </w:rPr>
              <m:t>T</m:t>
            </m:r>
          </m:sub>
        </m:sSub>
      </m:oMath>
      <w:r w:rsidRPr="007F2DF5">
        <w:rPr>
          <w:rFonts w:eastAsiaTheme="minorEastAsia"/>
          <w:b/>
          <w:lang w:val="hr-HR"/>
        </w:rPr>
        <w:t xml:space="preserve"> </w:t>
      </w:r>
      <w:r w:rsidRPr="007F2DF5">
        <w:rPr>
          <w:rFonts w:eastAsiaTheme="minorEastAsia"/>
          <w:lang w:val="hr-HR"/>
        </w:rPr>
        <w:t xml:space="preserve">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lang w:val="hr-H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hr-HR"/>
              </w:rPr>
              <m:t>m</m:t>
            </m:r>
          </m:sub>
        </m:sSub>
      </m:oMath>
      <w:r w:rsidRPr="007F2DF5">
        <w:rPr>
          <w:rFonts w:eastAsiaTheme="minorEastAsia"/>
          <w:lang w:val="hr-HR"/>
        </w:rPr>
        <w:t xml:space="preserve"> dobivamo:</w:t>
      </w:r>
    </w:p>
    <w:p w14:paraId="33BA60AF" w14:textId="77777777" w:rsidR="00444438" w:rsidRPr="007F2DF5" w:rsidRDefault="007F2DF5" w:rsidP="00444438">
      <w:pPr>
        <w:rPr>
          <w:rFonts w:eastAsiaTheme="minorEastAsia"/>
          <w:szCs w:val="24"/>
          <w:lang w:val="hr-HR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hr-HR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hr-H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hr-HR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hr-HR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hr-H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hr-HR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hr-HR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hr-H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hr-H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hr-H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hr-H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hr-H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hr-HR"/>
                        </w:rPr>
                        <m:t>m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  <w:szCs w:val="24"/>
              <w:lang w:val="hr-HR"/>
            </w:rPr>
            <m:t>≡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hr-H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hr-H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hr-HR"/>
                    </w:rPr>
                    <m:t>m</m:t>
                  </m:r>
                </m:sub>
              </m:sSub>
            </m:den>
          </m:f>
        </m:oMath>
      </m:oMathPara>
    </w:p>
    <w:p w14:paraId="101BF451" w14:textId="77777777" w:rsidR="0080243F" w:rsidRPr="007F2DF5" w:rsidRDefault="00444438" w:rsidP="00444438">
      <w:pPr>
        <w:rPr>
          <w:rFonts w:eastAsiaTheme="minorEastAsia"/>
          <w:szCs w:val="24"/>
          <w:lang w:val="hr-HR"/>
        </w:rPr>
      </w:pPr>
      <w:r w:rsidRPr="007F2DF5">
        <w:rPr>
          <w:rFonts w:eastAsiaTheme="minorEastAsia"/>
          <w:szCs w:val="24"/>
          <w:lang w:val="hr-HR"/>
        </w:rPr>
        <w:t xml:space="preserve">nalazimo da za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hr-HR"/>
          </w:rPr>
          <m:t>ϑ</m:t>
        </m:r>
        <m:r>
          <w:rPr>
            <w:rFonts w:ascii="Cambria Math" w:eastAsiaTheme="minorEastAsia" w:hAnsi="Cambria Math"/>
            <w:szCs w:val="24"/>
            <w:lang w:val="hr-HR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hr-H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hr-HR"/>
              </w:rPr>
              <m:t>ϑ</m:t>
            </m:r>
          </m:e>
          <m:sub>
            <m:r>
              <w:rPr>
                <w:rFonts w:ascii="Cambria Math" w:eastAsiaTheme="minorEastAsia" w:hAnsi="Cambria Math"/>
                <w:szCs w:val="24"/>
                <w:lang w:val="hr-HR"/>
              </w:rPr>
              <m:t>m</m:t>
            </m:r>
          </m:sub>
        </m:sSub>
      </m:oMath>
      <w:r w:rsidRPr="007F2DF5">
        <w:rPr>
          <w:rFonts w:eastAsiaTheme="minorEastAsia"/>
          <w:szCs w:val="24"/>
          <w:lang w:val="hr-HR"/>
        </w:rPr>
        <w:t xml:space="preserve"> čestica biva odbijena, a čestice s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hr-HR"/>
          </w:rPr>
          <m:t>ϑ</m:t>
        </m:r>
        <m:r>
          <w:rPr>
            <w:rFonts w:ascii="Cambria Math" w:eastAsiaTheme="minorEastAsia" w:hAnsi="Cambria Math"/>
            <w:szCs w:val="24"/>
            <w:lang w:val="hr-HR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hr-H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hr-HR"/>
              </w:rPr>
              <m:t>ϑ</m:t>
            </m:r>
          </m:e>
          <m:sub>
            <m:r>
              <w:rPr>
                <w:rFonts w:ascii="Cambria Math" w:eastAsiaTheme="minorEastAsia" w:hAnsi="Cambria Math"/>
                <w:szCs w:val="24"/>
                <w:lang w:val="hr-HR"/>
              </w:rPr>
              <m:t>m</m:t>
            </m:r>
          </m:sub>
        </m:sSub>
      </m:oMath>
      <w:r w:rsidRPr="007F2DF5">
        <w:rPr>
          <w:rFonts w:eastAsiaTheme="minorEastAsia"/>
          <w:szCs w:val="24"/>
          <w:lang w:val="hr-HR"/>
        </w:rPr>
        <w:t xml:space="preserve"> bježe iz magnetske boce. Parametar 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  <w:lang w:val="hr-HR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hr-HR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  <w:lang w:val="hr-HR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hr-HR"/>
                  </w:rPr>
                  <m:t>m</m:t>
                </m:r>
              </m:sub>
            </m:sSub>
          </m:den>
        </m:f>
      </m:oMath>
      <w:r w:rsidRPr="007F2DF5">
        <w:rPr>
          <w:rFonts w:eastAsiaTheme="minorEastAsia"/>
          <w:lang w:val="hr-HR"/>
        </w:rPr>
        <w:t xml:space="preserve"> nazivamo koeficijentom magnetskog zrcala, a dio faznog prostora u kojem vrijedi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hr-HR"/>
          </w:rPr>
          <m:t>ϑ</m:t>
        </m:r>
        <m:r>
          <w:rPr>
            <w:rFonts w:ascii="Cambria Math" w:eastAsiaTheme="minorEastAsia" w:hAnsi="Cambria Math"/>
            <w:szCs w:val="24"/>
            <w:lang w:val="hr-HR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hr-H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hr-HR"/>
              </w:rPr>
              <m:t>ϑ</m:t>
            </m:r>
          </m:e>
          <m:sub>
            <m:r>
              <w:rPr>
                <w:rFonts w:ascii="Cambria Math" w:eastAsiaTheme="minorEastAsia" w:hAnsi="Cambria Math"/>
                <w:szCs w:val="24"/>
                <w:lang w:val="hr-HR"/>
              </w:rPr>
              <m:t>m</m:t>
            </m:r>
          </m:sub>
        </m:sSub>
      </m:oMath>
      <w:r w:rsidRPr="007F2DF5">
        <w:rPr>
          <w:rFonts w:eastAsiaTheme="minorEastAsia"/>
          <w:szCs w:val="24"/>
          <w:lang w:val="hr-HR"/>
        </w:rPr>
        <w:t xml:space="preserve"> nazivamo stošcem gubitka. </w:t>
      </w:r>
    </w:p>
    <w:p w14:paraId="1B7879A1" w14:textId="77777777" w:rsidR="00444438" w:rsidRPr="007F2DF5" w:rsidRDefault="00444438" w:rsidP="00444438">
      <w:pPr>
        <w:rPr>
          <w:rFonts w:eastAsiaTheme="minorEastAsia"/>
          <w:szCs w:val="24"/>
          <w:lang w:val="hr-HR"/>
        </w:rPr>
      </w:pPr>
      <w:r w:rsidRPr="007F2DF5">
        <w:rPr>
          <w:rFonts w:eastAsiaTheme="minorEastAsia"/>
          <w:szCs w:val="24"/>
          <w:lang w:val="hr-HR"/>
        </w:rPr>
        <w:t xml:space="preserve">Zaključujemo da u magnetskoj boci raspodjela čestica u faznom prostoru nije </w:t>
      </w:r>
      <w:proofErr w:type="spellStart"/>
      <w:r w:rsidRPr="007F2DF5">
        <w:rPr>
          <w:rFonts w:eastAsiaTheme="minorEastAsia"/>
          <w:szCs w:val="24"/>
          <w:lang w:val="hr-HR"/>
        </w:rPr>
        <w:t>izotropna</w:t>
      </w:r>
      <w:proofErr w:type="spellEnd"/>
      <w:r w:rsidRPr="007F2DF5">
        <w:rPr>
          <w:rFonts w:eastAsiaTheme="minorEastAsia"/>
          <w:szCs w:val="24"/>
          <w:lang w:val="hr-HR"/>
        </w:rPr>
        <w:t xml:space="preserve"> pri čemu stožac gubitaka ne ovisi o naboju i masi čestice. </w:t>
      </w:r>
    </w:p>
    <w:p w14:paraId="77DEE3C9" w14:textId="77777777" w:rsidR="00444438" w:rsidRPr="007F2DF5" w:rsidRDefault="00444438" w:rsidP="00444438">
      <w:pPr>
        <w:rPr>
          <w:rFonts w:eastAsiaTheme="minorEastAsia"/>
          <w:szCs w:val="24"/>
          <w:lang w:val="hr-HR"/>
        </w:rPr>
      </w:pPr>
      <w:r w:rsidRPr="007F2DF5">
        <w:rPr>
          <w:rFonts w:eastAsiaTheme="minorEastAsia"/>
          <w:szCs w:val="24"/>
          <w:lang w:val="hr-HR"/>
        </w:rPr>
        <w:t xml:space="preserve">Zaključujemo </w:t>
      </w:r>
      <w:r w:rsidR="0080243F" w:rsidRPr="007F2DF5">
        <w:rPr>
          <w:rFonts w:eastAsiaTheme="minorEastAsia"/>
          <w:szCs w:val="24"/>
          <w:lang w:val="hr-HR"/>
        </w:rPr>
        <w:t xml:space="preserve">i </w:t>
      </w:r>
      <w:r w:rsidRPr="007F2DF5">
        <w:rPr>
          <w:rFonts w:eastAsiaTheme="minorEastAsia"/>
          <w:szCs w:val="24"/>
          <w:lang w:val="hr-HR"/>
        </w:rPr>
        <w:t xml:space="preserve">da će čestice bježati van sve dok se magnetska boca ne isprazni. Magnetska boca je prazna kada se izjednači tlak izvan i unutar boce. Elektroni iz magnetske boce izlaze brže jer je za njih veća sudarna učestalost. </w:t>
      </w:r>
    </w:p>
    <w:p w14:paraId="3CD58F1B" w14:textId="77777777" w:rsidR="00560D99" w:rsidRPr="007F2DF5" w:rsidRDefault="00560D99">
      <w:pPr>
        <w:rPr>
          <w:rFonts w:eastAsiaTheme="minorEastAsia"/>
          <w:szCs w:val="24"/>
          <w:lang w:val="hr-HR"/>
        </w:rPr>
      </w:pPr>
    </w:p>
    <w:p w14:paraId="67DFC6AA" w14:textId="77777777" w:rsidR="00560D99" w:rsidRPr="007F2DF5" w:rsidRDefault="00560D99" w:rsidP="00560D99">
      <w:pPr>
        <w:pStyle w:val="Heading1"/>
        <w:rPr>
          <w:lang w:val="hr-HR"/>
        </w:rPr>
      </w:pPr>
      <w:r w:rsidRPr="007F2DF5">
        <w:rPr>
          <w:lang w:val="hr-HR"/>
        </w:rPr>
        <w:t>Povijest magnetskog zrcala</w:t>
      </w:r>
    </w:p>
    <w:p w14:paraId="0ED54905" w14:textId="77777777" w:rsidR="00560D99" w:rsidRPr="007F2DF5" w:rsidRDefault="00560D99" w:rsidP="00560D99">
      <w:pPr>
        <w:rPr>
          <w:lang w:val="hr-HR"/>
        </w:rPr>
      </w:pPr>
    </w:p>
    <w:p w14:paraId="275EEF74" w14:textId="77777777" w:rsidR="00560D99" w:rsidRPr="007F2DF5" w:rsidRDefault="00560D99">
      <w:pPr>
        <w:rPr>
          <w:rFonts w:eastAsiaTheme="minorEastAsia"/>
          <w:szCs w:val="24"/>
          <w:lang w:val="hr-HR"/>
        </w:rPr>
      </w:pPr>
      <w:r w:rsidRPr="007F2DF5">
        <w:rPr>
          <w:rFonts w:eastAsiaTheme="minorEastAsia"/>
          <w:szCs w:val="24"/>
          <w:lang w:val="hr-HR"/>
        </w:rPr>
        <w:t>Koncept magnetskog zrcala za zadržavanje plazme predložen</w:t>
      </w:r>
      <w:r w:rsidR="00F65537" w:rsidRPr="007F2DF5">
        <w:rPr>
          <w:rFonts w:eastAsiaTheme="minorEastAsia"/>
          <w:szCs w:val="24"/>
          <w:lang w:val="hr-HR"/>
        </w:rPr>
        <w:t xml:space="preserve"> je</w:t>
      </w:r>
      <w:r w:rsidRPr="007F2DF5">
        <w:rPr>
          <w:rFonts w:eastAsiaTheme="minorEastAsia"/>
          <w:szCs w:val="24"/>
          <w:lang w:val="hr-HR"/>
        </w:rPr>
        <w:t xml:space="preserve"> sredinom 50-ih godina prošlog stolje</w:t>
      </w:r>
      <w:r w:rsidR="00F65537" w:rsidRPr="007F2DF5">
        <w:rPr>
          <w:rFonts w:eastAsiaTheme="minorEastAsia"/>
          <w:szCs w:val="24"/>
          <w:lang w:val="hr-HR"/>
        </w:rPr>
        <w:t xml:space="preserve">ća nezavisno na ruskom </w:t>
      </w:r>
      <w:proofErr w:type="spellStart"/>
      <w:r w:rsidR="00F65537" w:rsidRPr="007F2DF5">
        <w:rPr>
          <w:rFonts w:eastAsiaTheme="minorEastAsia"/>
          <w:szCs w:val="24"/>
          <w:lang w:val="hr-HR"/>
        </w:rPr>
        <w:t>Kurchatov</w:t>
      </w:r>
      <w:proofErr w:type="spellEnd"/>
      <w:r w:rsidR="00F65537" w:rsidRPr="007F2DF5">
        <w:rPr>
          <w:rFonts w:eastAsiaTheme="minorEastAsia"/>
          <w:szCs w:val="24"/>
          <w:lang w:val="hr-HR"/>
        </w:rPr>
        <w:t xml:space="preserve"> institutu i američkom Lawrence </w:t>
      </w:r>
      <w:proofErr w:type="spellStart"/>
      <w:r w:rsidR="00F65537" w:rsidRPr="007F2DF5">
        <w:rPr>
          <w:rFonts w:eastAsiaTheme="minorEastAsia"/>
          <w:szCs w:val="24"/>
          <w:lang w:val="hr-HR"/>
        </w:rPr>
        <w:t>Livermore</w:t>
      </w:r>
      <w:proofErr w:type="spellEnd"/>
      <w:r w:rsidR="00F65537" w:rsidRPr="007F2DF5">
        <w:rPr>
          <w:rFonts w:eastAsiaTheme="minorEastAsia"/>
          <w:szCs w:val="24"/>
          <w:lang w:val="hr-HR"/>
        </w:rPr>
        <w:t xml:space="preserve"> nacionalnom laboratoriju. Prvi prototip ideje (“</w:t>
      </w:r>
      <w:proofErr w:type="spellStart"/>
      <w:r w:rsidR="00F65537" w:rsidRPr="007F2DF5">
        <w:rPr>
          <w:rFonts w:eastAsiaTheme="minorEastAsia"/>
          <w:szCs w:val="24"/>
          <w:lang w:val="hr-HR"/>
        </w:rPr>
        <w:t>probkotron</w:t>
      </w:r>
      <w:proofErr w:type="spellEnd"/>
      <w:r w:rsidR="00F65537" w:rsidRPr="007F2DF5">
        <w:rPr>
          <w:rFonts w:eastAsiaTheme="minorEastAsia"/>
          <w:szCs w:val="24"/>
          <w:lang w:val="hr-HR"/>
        </w:rPr>
        <w:t xml:space="preserve">”) izrađen je 1959. na </w:t>
      </w:r>
      <w:proofErr w:type="spellStart"/>
      <w:r w:rsidR="00F65537" w:rsidRPr="007F2DF5">
        <w:rPr>
          <w:rFonts w:eastAsiaTheme="minorEastAsia"/>
          <w:szCs w:val="24"/>
          <w:lang w:val="hr-HR"/>
        </w:rPr>
        <w:t>Budker</w:t>
      </w:r>
      <w:proofErr w:type="spellEnd"/>
      <w:r w:rsidR="00F65537" w:rsidRPr="007F2DF5">
        <w:rPr>
          <w:rFonts w:eastAsiaTheme="minorEastAsia"/>
          <w:szCs w:val="24"/>
          <w:lang w:val="hr-HR"/>
        </w:rPr>
        <w:t xml:space="preserve"> institutu za nuklearnu fiziku u Novosibirsku.</w:t>
      </w:r>
    </w:p>
    <w:p w14:paraId="0014F62F" w14:textId="77777777" w:rsidR="00F65537" w:rsidRPr="007F2DF5" w:rsidRDefault="00F65537">
      <w:pPr>
        <w:rPr>
          <w:rFonts w:eastAsiaTheme="minorEastAsia"/>
          <w:szCs w:val="24"/>
          <w:lang w:val="hr-HR"/>
        </w:rPr>
      </w:pPr>
      <w:r w:rsidRPr="007F2DF5">
        <w:rPr>
          <w:rFonts w:eastAsiaTheme="minorEastAsia"/>
          <w:szCs w:val="24"/>
          <w:lang w:val="hr-HR"/>
        </w:rPr>
        <w:t xml:space="preserve">Do kraja 60-ih, magnetsko zrcalo smatralo se održivim načinom stvaranja fuzijske energije. </w:t>
      </w:r>
    </w:p>
    <w:p w14:paraId="3F350FAA" w14:textId="77777777" w:rsidR="00CB0F3E" w:rsidRPr="007F2DF5" w:rsidRDefault="00F65537" w:rsidP="00CB0F3E">
      <w:pPr>
        <w:rPr>
          <w:rFonts w:eastAsiaTheme="minorEastAsia"/>
          <w:szCs w:val="24"/>
          <w:lang w:val="hr-HR"/>
        </w:rPr>
      </w:pPr>
      <w:r w:rsidRPr="007F2DF5">
        <w:rPr>
          <w:rFonts w:eastAsiaTheme="minorEastAsia"/>
          <w:szCs w:val="24"/>
          <w:lang w:val="hr-HR"/>
        </w:rPr>
        <w:t xml:space="preserve">Od kraja 60-ih do sredine 80-ih izgrađeno je više </w:t>
      </w:r>
      <w:r w:rsidR="006902BD" w:rsidRPr="007F2DF5">
        <w:rPr>
          <w:rFonts w:eastAsiaTheme="minorEastAsia"/>
          <w:szCs w:val="24"/>
          <w:lang w:val="hr-HR"/>
        </w:rPr>
        <w:t>strojeva, od kojih je zadnji</w:t>
      </w:r>
      <w:r w:rsidR="0080243F" w:rsidRPr="007F2DF5">
        <w:rPr>
          <w:rFonts w:eastAsiaTheme="minorEastAsia"/>
          <w:szCs w:val="24"/>
          <w:lang w:val="hr-HR"/>
        </w:rPr>
        <w:t xml:space="preserve"> iz tog doba</w:t>
      </w:r>
      <w:r w:rsidR="006902BD" w:rsidRPr="007F2DF5">
        <w:rPr>
          <w:rFonts w:eastAsiaTheme="minorEastAsia"/>
          <w:szCs w:val="24"/>
          <w:lang w:val="hr-HR"/>
        </w:rPr>
        <w:t xml:space="preserve">, postrojenje za ispitivanje zrcalne fuzije, u to vrijem bio najskuplji projekt u povijesti </w:t>
      </w:r>
      <w:proofErr w:type="spellStart"/>
      <w:r w:rsidR="006902BD" w:rsidRPr="007F2DF5">
        <w:rPr>
          <w:rFonts w:eastAsiaTheme="minorEastAsia"/>
          <w:szCs w:val="24"/>
          <w:lang w:val="hr-HR"/>
        </w:rPr>
        <w:t>Livermore</w:t>
      </w:r>
      <w:proofErr w:type="spellEnd"/>
      <w:r w:rsidR="006902BD" w:rsidRPr="007F2DF5">
        <w:rPr>
          <w:rFonts w:eastAsiaTheme="minorEastAsia"/>
          <w:szCs w:val="24"/>
          <w:lang w:val="hr-HR"/>
        </w:rPr>
        <w:t xml:space="preserve"> instituta. Nažalost, zbog nedostatka novaca postrojenje je zatvoreno 1986.</w:t>
      </w:r>
    </w:p>
    <w:p w14:paraId="71A6B523" w14:textId="77777777" w:rsidR="00560D99" w:rsidRPr="007F2DF5" w:rsidRDefault="006902BD" w:rsidP="00CB0F3E">
      <w:pPr>
        <w:jc w:val="center"/>
        <w:rPr>
          <w:rFonts w:eastAsiaTheme="minorEastAsia"/>
          <w:szCs w:val="24"/>
          <w:lang w:val="hr-HR"/>
        </w:rPr>
      </w:pPr>
      <w:r w:rsidRPr="007F2DF5">
        <w:rPr>
          <w:noProof/>
          <w:lang w:val="hr-HR" w:eastAsia="hr-HR"/>
        </w:rPr>
        <w:drawing>
          <wp:inline distT="0" distB="0" distL="0" distR="0" wp14:anchorId="36A63056" wp14:editId="209935A0">
            <wp:extent cx="3028944" cy="2225040"/>
            <wp:effectExtent l="19050" t="0" r="6" b="0"/>
            <wp:docPr id="22" name="Picture 4" descr="https://upload.wikimedia.org/wikipedia/en/2/28/The_Mirror_Fusion_Test_Facility_During_Constru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en/2/28/The_Mirror_Fusion_Test_Facility_During_Constructio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023" cy="222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FF907" w14:textId="77777777" w:rsidR="006902BD" w:rsidRPr="007F2DF5" w:rsidRDefault="006902BD" w:rsidP="006902BD">
      <w:pPr>
        <w:jc w:val="center"/>
        <w:rPr>
          <w:rFonts w:eastAsiaTheme="minorEastAsia"/>
          <w:szCs w:val="24"/>
          <w:lang w:val="hr-HR"/>
        </w:rPr>
      </w:pPr>
      <w:r w:rsidRPr="007F2DF5">
        <w:rPr>
          <w:rFonts w:eastAsiaTheme="minorEastAsia"/>
          <w:szCs w:val="24"/>
          <w:lang w:val="hr-HR"/>
        </w:rPr>
        <w:t>Slika 3. MFTF (Postrojenje za ispitivanje zrcalne fuzije)</w:t>
      </w:r>
    </w:p>
    <w:p w14:paraId="7F813803" w14:textId="77777777" w:rsidR="00560D99" w:rsidRPr="007F2DF5" w:rsidRDefault="00322F72" w:rsidP="00FE488F">
      <w:pPr>
        <w:pStyle w:val="Heading1"/>
        <w:rPr>
          <w:rFonts w:eastAsiaTheme="minorEastAsia"/>
          <w:lang w:val="hr-HR"/>
        </w:rPr>
      </w:pPr>
      <w:r w:rsidRPr="007F2DF5">
        <w:rPr>
          <w:rFonts w:eastAsiaTheme="minorEastAsia"/>
          <w:lang w:val="hr-HR"/>
        </w:rPr>
        <w:lastRenderedPageBreak/>
        <w:t>Zaključak</w:t>
      </w:r>
    </w:p>
    <w:p w14:paraId="1B4ECD51" w14:textId="77777777" w:rsidR="00322F72" w:rsidRPr="007F2DF5" w:rsidRDefault="00322F72" w:rsidP="00322F72">
      <w:pPr>
        <w:rPr>
          <w:lang w:val="hr-HR"/>
        </w:rPr>
      </w:pPr>
    </w:p>
    <w:p w14:paraId="39276A94" w14:textId="77777777" w:rsidR="00322F72" w:rsidRPr="007F2DF5" w:rsidRDefault="00322F72" w:rsidP="00322F72">
      <w:pPr>
        <w:rPr>
          <w:lang w:val="hr-HR"/>
        </w:rPr>
      </w:pPr>
      <w:r w:rsidRPr="007F2DF5">
        <w:rPr>
          <w:lang w:val="hr-HR"/>
        </w:rPr>
        <w:t xml:space="preserve">Magnetska zrcala imaju centralnu ulogu u različitim tipovima uređaja za stvaranje energije pomoću magnetske fuzije, poput </w:t>
      </w:r>
      <w:proofErr w:type="spellStart"/>
      <w:r w:rsidRPr="007F2DF5">
        <w:rPr>
          <w:lang w:val="hr-HR"/>
        </w:rPr>
        <w:t>tokamaka</w:t>
      </w:r>
      <w:proofErr w:type="spellEnd"/>
      <w:r w:rsidRPr="007F2DF5">
        <w:rPr>
          <w:lang w:val="hr-HR"/>
        </w:rPr>
        <w:t xml:space="preserve">. </w:t>
      </w:r>
    </w:p>
    <w:p w14:paraId="3830748D" w14:textId="77777777" w:rsidR="00322F72" w:rsidRPr="007F2DF5" w:rsidRDefault="00AD1044" w:rsidP="00322F72">
      <w:pPr>
        <w:rPr>
          <w:lang w:val="hr-HR"/>
        </w:rPr>
      </w:pPr>
      <w:r w:rsidRPr="007F2DF5">
        <w:rPr>
          <w:lang w:val="hr-HR"/>
        </w:rPr>
        <w:t>U CERN-u koriste princip magnetska boce za zadržavanje antimaterije.</w:t>
      </w:r>
      <w:r w:rsidR="002F4EE8" w:rsidRPr="007F2DF5">
        <w:rPr>
          <w:lang w:val="hr-HR"/>
        </w:rPr>
        <w:t xml:space="preserve"> Ukoliko stvoreni </w:t>
      </w:r>
      <w:proofErr w:type="spellStart"/>
      <w:r w:rsidR="002F4EE8" w:rsidRPr="007F2DF5">
        <w:rPr>
          <w:lang w:val="hr-HR"/>
        </w:rPr>
        <w:t>antivodik</w:t>
      </w:r>
      <w:proofErr w:type="spellEnd"/>
      <w:r w:rsidR="002F4EE8" w:rsidRPr="007F2DF5">
        <w:rPr>
          <w:lang w:val="hr-HR"/>
        </w:rPr>
        <w:t xml:space="preserve"> (</w:t>
      </w:r>
      <w:proofErr w:type="spellStart"/>
      <w:r w:rsidR="002F4EE8" w:rsidRPr="007F2DF5">
        <w:rPr>
          <w:lang w:val="hr-HR"/>
        </w:rPr>
        <w:t>antimaterijski</w:t>
      </w:r>
      <w:proofErr w:type="spellEnd"/>
      <w:r w:rsidR="002F4EE8" w:rsidRPr="007F2DF5">
        <w:rPr>
          <w:lang w:val="hr-HR"/>
        </w:rPr>
        <w:t xml:space="preserve"> ekvivalent vodiku) ima dovoljno nisku energiju, može ostati zatočen u magnetskoj boci dulje vrijeme.</w:t>
      </w:r>
    </w:p>
    <w:p w14:paraId="35F41552" w14:textId="77777777" w:rsidR="00CB0F3E" w:rsidRPr="007F2DF5" w:rsidRDefault="00322F72">
      <w:pPr>
        <w:rPr>
          <w:lang w:val="hr-HR"/>
        </w:rPr>
      </w:pPr>
      <w:r w:rsidRPr="007F2DF5">
        <w:rPr>
          <w:lang w:val="hr-HR"/>
        </w:rPr>
        <w:t xml:space="preserve">Magnetska zrcala se također pojavljuju i u prirodi. </w:t>
      </w:r>
      <w:r w:rsidR="00CB0F3E" w:rsidRPr="007F2DF5">
        <w:rPr>
          <w:lang w:val="hr-HR"/>
        </w:rPr>
        <w:t>Ako zamislimo staklenu bocu čiju sredinu guramo prema gore, a krajeve savijamo prema dole (Slika 4), uvidjet ćemo da počinje nalikovati na Zemljino magnetskom polje (Slika 5). E</w:t>
      </w:r>
      <w:r w:rsidRPr="007F2DF5">
        <w:rPr>
          <w:lang w:val="hr-HR"/>
        </w:rPr>
        <w:t xml:space="preserve">lektroni i ioni </w:t>
      </w:r>
      <w:proofErr w:type="spellStart"/>
      <w:r w:rsidRPr="007F2DF5">
        <w:rPr>
          <w:lang w:val="hr-HR"/>
        </w:rPr>
        <w:t>magnetosfere</w:t>
      </w:r>
      <w:proofErr w:type="spellEnd"/>
      <w:r w:rsidR="00AD1044" w:rsidRPr="007F2DF5">
        <w:rPr>
          <w:lang w:val="hr-HR"/>
        </w:rPr>
        <w:t xml:space="preserve"> će se odbijati naprijed nazad između jačih polja na polovima, što posljedično uzrokuje Van </w:t>
      </w:r>
      <w:proofErr w:type="spellStart"/>
      <w:r w:rsidR="00AD1044" w:rsidRPr="007F2DF5">
        <w:rPr>
          <w:lang w:val="hr-HR"/>
        </w:rPr>
        <w:t>Allenove</w:t>
      </w:r>
      <w:proofErr w:type="spellEnd"/>
      <w:r w:rsidR="00AD1044" w:rsidRPr="007F2DF5">
        <w:rPr>
          <w:lang w:val="hr-HR"/>
        </w:rPr>
        <w:t xml:space="preserve"> pojase zračenja.</w:t>
      </w:r>
    </w:p>
    <w:p w14:paraId="6FE2CB4B" w14:textId="77777777" w:rsidR="00CB0F3E" w:rsidRPr="007F2DF5" w:rsidRDefault="00CB0F3E">
      <w:pPr>
        <w:rPr>
          <w:lang w:val="hr-HR"/>
        </w:rPr>
      </w:pPr>
    </w:p>
    <w:p w14:paraId="6A9DFAA6" w14:textId="77777777" w:rsidR="00CB0F3E" w:rsidRPr="007F2DF5" w:rsidRDefault="00CB0F3E" w:rsidP="00CB0F3E">
      <w:pPr>
        <w:jc w:val="center"/>
        <w:rPr>
          <w:lang w:val="hr-HR"/>
        </w:rPr>
      </w:pPr>
      <w:r w:rsidRPr="007F2DF5">
        <w:rPr>
          <w:noProof/>
          <w:lang w:val="hr-HR" w:eastAsia="hr-HR"/>
        </w:rPr>
        <w:drawing>
          <wp:inline distT="0" distB="0" distL="0" distR="0" wp14:anchorId="30AB018F" wp14:editId="2B679AE6">
            <wp:extent cx="2923930" cy="1608402"/>
            <wp:effectExtent l="19050" t="0" r="0" b="0"/>
            <wp:docPr id="24" name="Picture 10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0" cy="160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A59CA1" w14:textId="77777777" w:rsidR="00CB0F3E" w:rsidRPr="007F2DF5" w:rsidRDefault="00CB0F3E" w:rsidP="00CB0F3E">
      <w:pPr>
        <w:jc w:val="center"/>
        <w:rPr>
          <w:lang w:val="hr-HR"/>
        </w:rPr>
      </w:pPr>
      <w:r w:rsidRPr="007F2DF5">
        <w:rPr>
          <w:lang w:val="hr-HR"/>
        </w:rPr>
        <w:t>Slika 4. Magnetska boca</w:t>
      </w:r>
    </w:p>
    <w:p w14:paraId="71769CA9" w14:textId="77777777" w:rsidR="00CB0F3E" w:rsidRPr="007F2DF5" w:rsidRDefault="00CB0F3E">
      <w:pPr>
        <w:rPr>
          <w:lang w:val="hr-HR"/>
        </w:rPr>
      </w:pPr>
    </w:p>
    <w:p w14:paraId="6E64E6DE" w14:textId="77777777" w:rsidR="00CB0F3E" w:rsidRPr="007F2DF5" w:rsidRDefault="00CB0F3E" w:rsidP="00CB0F3E">
      <w:pPr>
        <w:jc w:val="center"/>
        <w:rPr>
          <w:rFonts w:eastAsiaTheme="minorEastAsia"/>
          <w:lang w:val="hr-HR"/>
        </w:rPr>
      </w:pPr>
      <w:r w:rsidRPr="007F2DF5">
        <w:rPr>
          <w:noProof/>
          <w:lang w:val="hr-HR" w:eastAsia="hr-HR"/>
        </w:rPr>
        <w:drawing>
          <wp:inline distT="0" distB="0" distL="0" distR="0" wp14:anchorId="40AE3C20" wp14:editId="774577E8">
            <wp:extent cx="1614153" cy="2232660"/>
            <wp:effectExtent l="0" t="0" r="0" b="0"/>
            <wp:docPr id="23" name="Picture 7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53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9CD02" w14:textId="77777777" w:rsidR="00FE488F" w:rsidRPr="007F2DF5" w:rsidRDefault="00CB0F3E" w:rsidP="00CB0F3E">
      <w:pPr>
        <w:jc w:val="center"/>
        <w:rPr>
          <w:lang w:val="hr-HR"/>
        </w:rPr>
      </w:pPr>
      <w:r w:rsidRPr="007F2DF5">
        <w:rPr>
          <w:rFonts w:eastAsiaTheme="minorEastAsia"/>
          <w:lang w:val="hr-HR"/>
        </w:rPr>
        <w:t>Slika 5. Magnetsko polje Zemlje</w:t>
      </w:r>
      <w:r w:rsidR="00FE488F" w:rsidRPr="007F2DF5">
        <w:rPr>
          <w:rFonts w:eastAsiaTheme="minorEastAsia"/>
          <w:lang w:val="hr-HR"/>
        </w:rPr>
        <w:br w:type="page"/>
      </w:r>
    </w:p>
    <w:p w14:paraId="1D3A9108" w14:textId="77777777" w:rsidR="00444438" w:rsidRPr="007F2DF5" w:rsidRDefault="00560D99" w:rsidP="00444438">
      <w:pPr>
        <w:pStyle w:val="Heading1"/>
        <w:rPr>
          <w:rFonts w:eastAsiaTheme="minorEastAsia"/>
          <w:lang w:val="hr-HR"/>
        </w:rPr>
      </w:pPr>
      <w:r w:rsidRPr="007F2DF5">
        <w:rPr>
          <w:rFonts w:eastAsiaTheme="minorEastAsia"/>
          <w:lang w:val="hr-HR"/>
        </w:rPr>
        <w:lastRenderedPageBreak/>
        <w:t>L</w:t>
      </w:r>
      <w:r w:rsidR="00444438" w:rsidRPr="007F2DF5">
        <w:rPr>
          <w:rFonts w:eastAsiaTheme="minorEastAsia"/>
          <w:lang w:val="hr-HR"/>
        </w:rPr>
        <w:t>iteratura</w:t>
      </w:r>
    </w:p>
    <w:p w14:paraId="6ADAA86F" w14:textId="77777777" w:rsidR="00444438" w:rsidRPr="007F2DF5" w:rsidRDefault="00444438" w:rsidP="00444438">
      <w:pPr>
        <w:rPr>
          <w:lang w:val="hr-HR"/>
        </w:rPr>
      </w:pPr>
    </w:p>
    <w:p w14:paraId="3F95B1F2" w14:textId="33FAD177" w:rsidR="000B16F1" w:rsidRPr="007F2DF5" w:rsidRDefault="00444438" w:rsidP="002314FB">
      <w:pPr>
        <w:pStyle w:val="ListParagraph"/>
        <w:numPr>
          <w:ilvl w:val="0"/>
          <w:numId w:val="1"/>
        </w:numPr>
        <w:spacing w:before="120" w:after="240" w:line="360" w:lineRule="auto"/>
        <w:ind w:left="357" w:hanging="357"/>
        <w:rPr>
          <w:lang w:val="hr-HR"/>
        </w:rPr>
      </w:pPr>
      <w:proofErr w:type="spellStart"/>
      <w:r w:rsidRPr="007F2DF5">
        <w:rPr>
          <w:lang w:val="hr-HR"/>
        </w:rPr>
        <w:t>Vršnak</w:t>
      </w:r>
      <w:proofErr w:type="spellEnd"/>
      <w:r w:rsidRPr="007F2DF5">
        <w:rPr>
          <w:lang w:val="hr-HR"/>
        </w:rPr>
        <w:t xml:space="preserve">, B. (1996) Temeljna svojstva plazme, Opisi plazmenih </w:t>
      </w:r>
      <w:r w:rsidR="00245966" w:rsidRPr="007F2DF5">
        <w:rPr>
          <w:lang w:val="hr-HR"/>
        </w:rPr>
        <w:t>sustava. Temelji</w:t>
      </w:r>
      <w:r w:rsidRPr="007F2DF5">
        <w:rPr>
          <w:lang w:val="hr-HR"/>
        </w:rPr>
        <w:t xml:space="preserve"> fizike plazme. Zagreb: Školska knjiga, str. 3–36.</w:t>
      </w:r>
    </w:p>
    <w:p w14:paraId="15F45A6D" w14:textId="3127C3A1" w:rsidR="000B16F1" w:rsidRPr="007F2DF5" w:rsidRDefault="00245966" w:rsidP="002314FB">
      <w:pPr>
        <w:pStyle w:val="ListParagraph"/>
        <w:numPr>
          <w:ilvl w:val="0"/>
          <w:numId w:val="1"/>
        </w:numPr>
        <w:spacing w:before="120" w:after="240" w:line="360" w:lineRule="auto"/>
        <w:ind w:left="357" w:hanging="357"/>
        <w:rPr>
          <w:lang w:val="hr-HR"/>
        </w:rPr>
      </w:pPr>
      <w:r w:rsidRPr="007F2DF5">
        <w:rPr>
          <w:lang w:val="hr-HR"/>
        </w:rPr>
        <w:t>„</w:t>
      </w:r>
      <w:proofErr w:type="spellStart"/>
      <w:r w:rsidRPr="007F2DF5">
        <w:rPr>
          <w:lang w:val="hr-HR"/>
        </w:rPr>
        <w:t>Introduction</w:t>
      </w:r>
      <w:proofErr w:type="spellEnd"/>
      <w:r w:rsidRPr="007F2DF5">
        <w:rPr>
          <w:lang w:val="hr-HR"/>
        </w:rPr>
        <w:t xml:space="preserve">“, </w:t>
      </w:r>
      <w:proofErr w:type="spellStart"/>
      <w:r w:rsidRPr="007F2DF5">
        <w:rPr>
          <w:i/>
          <w:lang w:val="hr-HR"/>
        </w:rPr>
        <w:t>French</w:t>
      </w:r>
      <w:proofErr w:type="spellEnd"/>
      <w:r w:rsidRPr="007F2DF5">
        <w:rPr>
          <w:i/>
          <w:lang w:val="hr-HR"/>
        </w:rPr>
        <w:t xml:space="preserve"> Alternative </w:t>
      </w:r>
      <w:proofErr w:type="spellStart"/>
      <w:r w:rsidRPr="007F2DF5">
        <w:rPr>
          <w:i/>
          <w:lang w:val="hr-HR"/>
        </w:rPr>
        <w:t>Energies</w:t>
      </w:r>
      <w:proofErr w:type="spellEnd"/>
      <w:r w:rsidRPr="007F2DF5">
        <w:rPr>
          <w:i/>
          <w:lang w:val="hr-HR"/>
        </w:rPr>
        <w:t xml:space="preserve"> </w:t>
      </w:r>
      <w:proofErr w:type="spellStart"/>
      <w:r w:rsidRPr="007F2DF5">
        <w:rPr>
          <w:i/>
          <w:lang w:val="hr-HR"/>
        </w:rPr>
        <w:t>and</w:t>
      </w:r>
      <w:proofErr w:type="spellEnd"/>
      <w:r w:rsidRPr="007F2DF5">
        <w:rPr>
          <w:i/>
          <w:lang w:val="hr-HR"/>
        </w:rPr>
        <w:t xml:space="preserve"> Atomic Energy </w:t>
      </w:r>
      <w:proofErr w:type="spellStart"/>
      <w:r w:rsidRPr="007F2DF5">
        <w:rPr>
          <w:i/>
          <w:lang w:val="hr-HR"/>
        </w:rPr>
        <w:t>Commission</w:t>
      </w:r>
      <w:proofErr w:type="spellEnd"/>
      <w:r w:rsidRPr="007F2DF5">
        <w:rPr>
          <w:i/>
          <w:lang w:val="hr-HR"/>
        </w:rPr>
        <w:t xml:space="preserve"> (CEA)</w:t>
      </w:r>
      <w:r w:rsidRPr="007F2DF5">
        <w:rPr>
          <w:lang w:val="hr-HR"/>
        </w:rPr>
        <w:t xml:space="preserve">, Dostupno: </w:t>
      </w:r>
      <w:hyperlink r:id="rId11" w:history="1">
        <w:r w:rsidR="000B16F1" w:rsidRPr="007F2DF5">
          <w:rPr>
            <w:rStyle w:val="Hyperlink"/>
            <w:lang w:val="hr-HR"/>
          </w:rPr>
          <w:t>http://www-fusion-magnetique.cea.fr/gb/fusion/principes/principes02.htm</w:t>
        </w:r>
      </w:hyperlink>
      <w:r w:rsidRPr="007F2DF5">
        <w:rPr>
          <w:lang w:val="hr-HR"/>
        </w:rPr>
        <w:t>, [</w:t>
      </w:r>
      <w:r w:rsidRPr="007F2DF5">
        <w:rPr>
          <w:rFonts w:cs="Arial"/>
          <w:szCs w:val="24"/>
          <w:lang w:val="hr-HR"/>
        </w:rPr>
        <w:t>Online; pristupano u siječnju 2017</w:t>
      </w:r>
      <w:r w:rsidRPr="007F2DF5">
        <w:rPr>
          <w:lang w:val="hr-HR"/>
        </w:rPr>
        <w:t>]</w:t>
      </w:r>
    </w:p>
    <w:p w14:paraId="581A1FA5" w14:textId="33CA9795" w:rsidR="00FB692E" w:rsidRPr="007F2DF5" w:rsidRDefault="002314FB" w:rsidP="002314FB">
      <w:pPr>
        <w:pStyle w:val="ListParagraph"/>
        <w:numPr>
          <w:ilvl w:val="0"/>
          <w:numId w:val="1"/>
        </w:numPr>
        <w:spacing w:before="120" w:after="240" w:line="360" w:lineRule="auto"/>
        <w:ind w:left="357" w:hanging="357"/>
        <w:rPr>
          <w:lang w:val="hr-HR"/>
        </w:rPr>
      </w:pPr>
      <w:r w:rsidRPr="007F2DF5">
        <w:rPr>
          <w:lang w:val="hr-HR"/>
        </w:rPr>
        <w:t>„</w:t>
      </w:r>
      <w:proofErr w:type="spellStart"/>
      <w:r w:rsidRPr="007F2DF5">
        <w:rPr>
          <w:lang w:val="hr-HR"/>
        </w:rPr>
        <w:t>Magnetic</w:t>
      </w:r>
      <w:proofErr w:type="spellEnd"/>
      <w:r w:rsidRPr="007F2DF5">
        <w:rPr>
          <w:lang w:val="hr-HR"/>
        </w:rPr>
        <w:t xml:space="preserve"> </w:t>
      </w:r>
      <w:proofErr w:type="spellStart"/>
      <w:r w:rsidRPr="007F2DF5">
        <w:rPr>
          <w:lang w:val="hr-HR"/>
        </w:rPr>
        <w:t>mirror</w:t>
      </w:r>
      <w:proofErr w:type="spellEnd"/>
      <w:r w:rsidRPr="007F2DF5">
        <w:rPr>
          <w:lang w:val="hr-HR"/>
        </w:rPr>
        <w:t xml:space="preserve">“, </w:t>
      </w:r>
      <w:proofErr w:type="spellStart"/>
      <w:r w:rsidRPr="007F2DF5">
        <w:rPr>
          <w:rFonts w:cs="Arial"/>
          <w:i/>
          <w:szCs w:val="24"/>
          <w:lang w:val="hr-HR"/>
        </w:rPr>
        <w:t>Wikipedia</w:t>
      </w:r>
      <w:proofErr w:type="spellEnd"/>
      <w:r w:rsidRPr="007F2DF5">
        <w:rPr>
          <w:rFonts w:cs="Arial"/>
          <w:i/>
          <w:szCs w:val="24"/>
          <w:lang w:val="hr-HR"/>
        </w:rPr>
        <w:t xml:space="preserve">: </w:t>
      </w:r>
      <w:proofErr w:type="spellStart"/>
      <w:r w:rsidRPr="007F2DF5">
        <w:rPr>
          <w:rFonts w:cs="Arial"/>
          <w:i/>
          <w:szCs w:val="24"/>
          <w:lang w:val="hr-HR"/>
        </w:rPr>
        <w:t>The</w:t>
      </w:r>
      <w:proofErr w:type="spellEnd"/>
      <w:r w:rsidRPr="007F2DF5">
        <w:rPr>
          <w:rFonts w:cs="Arial"/>
          <w:i/>
          <w:szCs w:val="24"/>
          <w:lang w:val="hr-HR"/>
        </w:rPr>
        <w:t xml:space="preserve"> Free </w:t>
      </w:r>
      <w:proofErr w:type="spellStart"/>
      <w:r w:rsidRPr="007F2DF5">
        <w:rPr>
          <w:rFonts w:cs="Arial"/>
          <w:i/>
          <w:szCs w:val="24"/>
          <w:lang w:val="hr-HR"/>
        </w:rPr>
        <w:t>Encyclopedia</w:t>
      </w:r>
      <w:proofErr w:type="spellEnd"/>
      <w:r w:rsidRPr="007F2DF5">
        <w:rPr>
          <w:lang w:val="hr-HR"/>
        </w:rPr>
        <w:t xml:space="preserve">, </w:t>
      </w:r>
      <w:r w:rsidRPr="007F2DF5">
        <w:rPr>
          <w:lang w:val="hr-HR"/>
        </w:rPr>
        <w:br/>
        <w:t xml:space="preserve">Dostupno: </w:t>
      </w:r>
      <w:hyperlink r:id="rId12" w:anchor="Magnetic_bottles" w:history="1">
        <w:r w:rsidR="000B16F1" w:rsidRPr="007F2DF5">
          <w:rPr>
            <w:rStyle w:val="Hyperlink"/>
            <w:lang w:val="hr-HR"/>
          </w:rPr>
          <w:t>https://en.wikipedia.org/wiki/Magnetic_mirror#Magnetic_bottles</w:t>
        </w:r>
      </w:hyperlink>
      <w:r w:rsidRPr="007F2DF5">
        <w:rPr>
          <w:lang w:val="hr-HR"/>
        </w:rPr>
        <w:t>, [</w:t>
      </w:r>
      <w:r w:rsidRPr="007F2DF5">
        <w:rPr>
          <w:rFonts w:cs="Arial"/>
          <w:szCs w:val="24"/>
          <w:lang w:val="hr-HR"/>
        </w:rPr>
        <w:t>Online; pristupano u siječnju 2017</w:t>
      </w:r>
      <w:r w:rsidRPr="007F2DF5">
        <w:rPr>
          <w:lang w:val="hr-HR"/>
        </w:rPr>
        <w:t>]</w:t>
      </w:r>
    </w:p>
    <w:p w14:paraId="24D8DBC9" w14:textId="4B71F9D6" w:rsidR="000B16F1" w:rsidRPr="007F2DF5" w:rsidRDefault="002314FB" w:rsidP="00D131B7">
      <w:pPr>
        <w:pStyle w:val="ListParagraph"/>
        <w:numPr>
          <w:ilvl w:val="0"/>
          <w:numId w:val="1"/>
        </w:numPr>
        <w:spacing w:before="120" w:after="240" w:line="360" w:lineRule="auto"/>
        <w:ind w:left="357" w:hanging="357"/>
        <w:rPr>
          <w:lang w:val="hr-HR"/>
        </w:rPr>
      </w:pPr>
      <w:r w:rsidRPr="007F2DF5">
        <w:rPr>
          <w:lang w:val="hr-HR"/>
        </w:rPr>
        <w:t>„</w:t>
      </w:r>
      <w:proofErr w:type="spellStart"/>
      <w:r w:rsidRPr="007F2DF5">
        <w:rPr>
          <w:lang w:val="hr-HR"/>
        </w:rPr>
        <w:t>Storing</w:t>
      </w:r>
      <w:proofErr w:type="spellEnd"/>
      <w:r w:rsidRPr="007F2DF5">
        <w:rPr>
          <w:lang w:val="hr-HR"/>
        </w:rPr>
        <w:t xml:space="preserve"> </w:t>
      </w:r>
      <w:proofErr w:type="spellStart"/>
      <w:r w:rsidRPr="007F2DF5">
        <w:rPr>
          <w:lang w:val="hr-HR"/>
        </w:rPr>
        <w:t>antimater</w:t>
      </w:r>
      <w:proofErr w:type="spellEnd"/>
      <w:r w:rsidRPr="007F2DF5">
        <w:rPr>
          <w:lang w:val="hr-HR"/>
        </w:rPr>
        <w:t xml:space="preserve">“, </w:t>
      </w:r>
      <w:r w:rsidR="00784486" w:rsidRPr="007F2DF5">
        <w:rPr>
          <w:lang w:val="hr-HR"/>
        </w:rPr>
        <w:t xml:space="preserve">CERN - European </w:t>
      </w:r>
      <w:proofErr w:type="spellStart"/>
      <w:r w:rsidR="00784486" w:rsidRPr="007F2DF5">
        <w:rPr>
          <w:lang w:val="hr-HR"/>
        </w:rPr>
        <w:t>Organization</w:t>
      </w:r>
      <w:proofErr w:type="spellEnd"/>
      <w:r w:rsidR="00784486" w:rsidRPr="007F2DF5">
        <w:rPr>
          <w:lang w:val="hr-HR"/>
        </w:rPr>
        <w:t xml:space="preserve"> for </w:t>
      </w:r>
      <w:proofErr w:type="spellStart"/>
      <w:r w:rsidR="00784486" w:rsidRPr="007F2DF5">
        <w:rPr>
          <w:lang w:val="hr-HR"/>
        </w:rPr>
        <w:t>Nuclear</w:t>
      </w:r>
      <w:proofErr w:type="spellEnd"/>
      <w:r w:rsidR="00784486" w:rsidRPr="007F2DF5">
        <w:rPr>
          <w:lang w:val="hr-HR"/>
        </w:rPr>
        <w:t xml:space="preserve"> Research, </w:t>
      </w:r>
      <w:r w:rsidRPr="007F2DF5">
        <w:rPr>
          <w:lang w:val="hr-HR"/>
        </w:rPr>
        <w:t xml:space="preserve">Dostupno: </w:t>
      </w:r>
      <w:hyperlink r:id="rId13" w:history="1">
        <w:r w:rsidRPr="007F2DF5">
          <w:rPr>
            <w:rStyle w:val="Hyperlink"/>
            <w:lang w:val="hr-HR"/>
          </w:rPr>
          <w:t>http://cds.cern.ch/record/1997739</w:t>
        </w:r>
      </w:hyperlink>
      <w:r w:rsidR="00784486" w:rsidRPr="007F2DF5">
        <w:rPr>
          <w:lang w:val="hr-HR"/>
        </w:rPr>
        <w:t xml:space="preserve">, </w:t>
      </w:r>
      <w:r w:rsidRPr="007F2DF5">
        <w:rPr>
          <w:lang w:val="hr-HR"/>
        </w:rPr>
        <w:t>[</w:t>
      </w:r>
      <w:r w:rsidRPr="007F2DF5">
        <w:rPr>
          <w:rFonts w:cs="Arial"/>
          <w:szCs w:val="24"/>
          <w:lang w:val="hr-HR"/>
        </w:rPr>
        <w:t>Online; pristupano u siječnju 2017</w:t>
      </w:r>
      <w:r w:rsidRPr="007F2DF5">
        <w:rPr>
          <w:lang w:val="hr-HR"/>
        </w:rPr>
        <w:t>]</w:t>
      </w:r>
    </w:p>
    <w:sectPr w:rsidR="000B16F1" w:rsidRPr="007F2DF5" w:rsidSect="007B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64546"/>
    <w:multiLevelType w:val="hybridMultilevel"/>
    <w:tmpl w:val="A1D84F8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C0C74"/>
    <w:multiLevelType w:val="hybridMultilevel"/>
    <w:tmpl w:val="5002C6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764D9"/>
    <w:rsid w:val="00042989"/>
    <w:rsid w:val="000764D9"/>
    <w:rsid w:val="000B16F1"/>
    <w:rsid w:val="000D121A"/>
    <w:rsid w:val="00113238"/>
    <w:rsid w:val="0011571C"/>
    <w:rsid w:val="0012640A"/>
    <w:rsid w:val="00135E2B"/>
    <w:rsid w:val="00143388"/>
    <w:rsid w:val="00156E87"/>
    <w:rsid w:val="00163FC2"/>
    <w:rsid w:val="00185434"/>
    <w:rsid w:val="00187F0B"/>
    <w:rsid w:val="001B66D5"/>
    <w:rsid w:val="001C06FD"/>
    <w:rsid w:val="001C1763"/>
    <w:rsid w:val="001F7712"/>
    <w:rsid w:val="001F7D07"/>
    <w:rsid w:val="002034A0"/>
    <w:rsid w:val="00203E20"/>
    <w:rsid w:val="002314FB"/>
    <w:rsid w:val="00245966"/>
    <w:rsid w:val="002952C4"/>
    <w:rsid w:val="00296836"/>
    <w:rsid w:val="002C0379"/>
    <w:rsid w:val="002C6DEF"/>
    <w:rsid w:val="002D7A74"/>
    <w:rsid w:val="002F4EE8"/>
    <w:rsid w:val="0031447D"/>
    <w:rsid w:val="00322F72"/>
    <w:rsid w:val="00326DCB"/>
    <w:rsid w:val="00386B27"/>
    <w:rsid w:val="003D6F2A"/>
    <w:rsid w:val="003E646C"/>
    <w:rsid w:val="00423B56"/>
    <w:rsid w:val="00444438"/>
    <w:rsid w:val="00466013"/>
    <w:rsid w:val="00476FED"/>
    <w:rsid w:val="00484AE9"/>
    <w:rsid w:val="0048774F"/>
    <w:rsid w:val="004C1866"/>
    <w:rsid w:val="004F3D13"/>
    <w:rsid w:val="00512356"/>
    <w:rsid w:val="00560D99"/>
    <w:rsid w:val="00562856"/>
    <w:rsid w:val="005A0595"/>
    <w:rsid w:val="005E4932"/>
    <w:rsid w:val="005E5746"/>
    <w:rsid w:val="00612988"/>
    <w:rsid w:val="006374FD"/>
    <w:rsid w:val="00683C2F"/>
    <w:rsid w:val="006862DD"/>
    <w:rsid w:val="006902BD"/>
    <w:rsid w:val="006C733E"/>
    <w:rsid w:val="006D1F5B"/>
    <w:rsid w:val="006F0285"/>
    <w:rsid w:val="00703882"/>
    <w:rsid w:val="00784486"/>
    <w:rsid w:val="00795B8E"/>
    <w:rsid w:val="007A7C99"/>
    <w:rsid w:val="007B31DD"/>
    <w:rsid w:val="007F2DF5"/>
    <w:rsid w:val="0080243F"/>
    <w:rsid w:val="00803701"/>
    <w:rsid w:val="00812BE5"/>
    <w:rsid w:val="00877333"/>
    <w:rsid w:val="008A55F2"/>
    <w:rsid w:val="008F00C3"/>
    <w:rsid w:val="00925509"/>
    <w:rsid w:val="009B0333"/>
    <w:rsid w:val="009D750E"/>
    <w:rsid w:val="009F4184"/>
    <w:rsid w:val="00A01F58"/>
    <w:rsid w:val="00A5293F"/>
    <w:rsid w:val="00A54181"/>
    <w:rsid w:val="00A86914"/>
    <w:rsid w:val="00A92788"/>
    <w:rsid w:val="00AB3DE7"/>
    <w:rsid w:val="00AC68B6"/>
    <w:rsid w:val="00AD1044"/>
    <w:rsid w:val="00AD6BDC"/>
    <w:rsid w:val="00AE2482"/>
    <w:rsid w:val="00AE5ABD"/>
    <w:rsid w:val="00AE7EDD"/>
    <w:rsid w:val="00B4125F"/>
    <w:rsid w:val="00B451C6"/>
    <w:rsid w:val="00B513FF"/>
    <w:rsid w:val="00B822D6"/>
    <w:rsid w:val="00BC15E3"/>
    <w:rsid w:val="00C45856"/>
    <w:rsid w:val="00C51B3E"/>
    <w:rsid w:val="00C81366"/>
    <w:rsid w:val="00C9671A"/>
    <w:rsid w:val="00CB0F3E"/>
    <w:rsid w:val="00CC007D"/>
    <w:rsid w:val="00CD3347"/>
    <w:rsid w:val="00D131B7"/>
    <w:rsid w:val="00D41341"/>
    <w:rsid w:val="00D91558"/>
    <w:rsid w:val="00DA06B3"/>
    <w:rsid w:val="00DB0034"/>
    <w:rsid w:val="00DD3A50"/>
    <w:rsid w:val="00DE63CA"/>
    <w:rsid w:val="00DF7738"/>
    <w:rsid w:val="00E22F4C"/>
    <w:rsid w:val="00E321EB"/>
    <w:rsid w:val="00E50B73"/>
    <w:rsid w:val="00E70821"/>
    <w:rsid w:val="00E846D5"/>
    <w:rsid w:val="00F32929"/>
    <w:rsid w:val="00F65537"/>
    <w:rsid w:val="00F74BFF"/>
    <w:rsid w:val="00F85649"/>
    <w:rsid w:val="00F86563"/>
    <w:rsid w:val="00F933C7"/>
    <w:rsid w:val="00FA3EC3"/>
    <w:rsid w:val="00FB283E"/>
    <w:rsid w:val="00FB692E"/>
    <w:rsid w:val="00FE387D"/>
    <w:rsid w:val="00FE4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75A26"/>
  <w15:docId w15:val="{3A3AE528-3B40-4BE0-8396-9CC89F7E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4D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4D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4D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64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4D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64D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4D9"/>
    <w:rPr>
      <w:rFonts w:ascii="Arial" w:eastAsiaTheme="majorEastAsia" w:hAnsi="Arial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64D9"/>
    <w:rPr>
      <w:rFonts w:ascii="Arial" w:eastAsiaTheme="majorEastAsia" w:hAnsi="Arial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0764D9"/>
    <w:pPr>
      <w:spacing w:after="0" w:line="240" w:lineRule="auto"/>
    </w:pPr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4D9"/>
    <w:rPr>
      <w:rFonts w:ascii="Arial" w:eastAsiaTheme="majorEastAsia" w:hAnsi="Arial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51C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2F7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0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0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0C3"/>
    <w:rPr>
      <w:rFonts w:ascii="Arial" w:hAnsi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B16F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59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cds.cern.ch/record/1997739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Magnetic_mirr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-fusion-magnetique.cea.fr/gb/fusion/principes/principes02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04124-2809-4809-A3EA-785879521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6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</dc:creator>
  <cp:lastModifiedBy>Mario</cp:lastModifiedBy>
  <cp:revision>79</cp:revision>
  <dcterms:created xsi:type="dcterms:W3CDTF">2017-01-05T16:07:00Z</dcterms:created>
  <dcterms:modified xsi:type="dcterms:W3CDTF">2017-01-16T02:07:00Z</dcterms:modified>
</cp:coreProperties>
</file>