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65D" w:rsidRPr="00293517" w:rsidRDefault="00DE665D" w:rsidP="00DE665D">
      <w:pPr>
        <w:pStyle w:val="Heading2"/>
        <w:rPr>
          <w:sz w:val="28"/>
        </w:rPr>
      </w:pPr>
      <w:r w:rsidRPr="00293517">
        <w:rPr>
          <w:sz w:val="28"/>
        </w:rPr>
        <w:t xml:space="preserve">Korporativno upravljanje </w:t>
      </w:r>
    </w:p>
    <w:p w:rsidR="00DE665D" w:rsidRPr="00293517" w:rsidRDefault="00DE665D" w:rsidP="00DE665D"/>
    <w:p w:rsidR="00DE665D" w:rsidRPr="00293517" w:rsidRDefault="00DE665D" w:rsidP="00DE665D">
      <w:pPr>
        <w:pStyle w:val="NoSpacing"/>
        <w:rPr>
          <w:sz w:val="24"/>
        </w:rPr>
      </w:pPr>
      <w:r w:rsidRPr="00293517">
        <w:rPr>
          <w:sz w:val="24"/>
        </w:rPr>
        <w:t>- sustav upravljanja i nadzora nad upravljanjem u dioničkim društvima</w:t>
      </w:r>
    </w:p>
    <w:p w:rsidR="00DE665D" w:rsidRPr="00293517" w:rsidRDefault="00DE665D" w:rsidP="00DE665D">
      <w:pPr>
        <w:pStyle w:val="NoSpacing"/>
        <w:rPr>
          <w:sz w:val="24"/>
        </w:rPr>
      </w:pPr>
      <w:r w:rsidRPr="00293517">
        <w:rPr>
          <w:sz w:val="24"/>
        </w:rPr>
        <w:t>-problem koji se želi riješiti je pitanje raspodjele moći unutar TD odnosno tko donosi odluke u TD i čiji se interesi pritom uzimaju u obzir</w:t>
      </w:r>
    </w:p>
    <w:p w:rsidR="00DE665D" w:rsidRPr="00293517" w:rsidRDefault="00DE665D" w:rsidP="00DE665D">
      <w:pPr>
        <w:pStyle w:val="NoSpacing"/>
        <w:rPr>
          <w:sz w:val="24"/>
        </w:rPr>
      </w:pPr>
      <w:r w:rsidRPr="00293517">
        <w:rPr>
          <w:sz w:val="24"/>
        </w:rPr>
        <w:t>-subjekti: dioničari, zaposlenici, uprava, vjerovnici, poslovni partneri</w:t>
      </w:r>
    </w:p>
    <w:p w:rsidR="00DE665D" w:rsidRPr="00293517" w:rsidRDefault="00DE665D" w:rsidP="00DE665D">
      <w:pPr>
        <w:pStyle w:val="NoSpacing"/>
        <w:rPr>
          <w:sz w:val="24"/>
        </w:rPr>
      </w:pPr>
      <w:r w:rsidRPr="00293517">
        <w:rPr>
          <w:sz w:val="24"/>
        </w:rPr>
        <w:t xml:space="preserve">-problem nepodudarnosti  i interesa članova uprave </w:t>
      </w:r>
      <w:proofErr w:type="spellStart"/>
      <w:r w:rsidRPr="00293517">
        <w:rPr>
          <w:sz w:val="24"/>
        </w:rPr>
        <w:t>d.d</w:t>
      </w:r>
      <w:proofErr w:type="spellEnd"/>
      <w:r w:rsidRPr="00293517">
        <w:rPr>
          <w:sz w:val="24"/>
        </w:rPr>
        <w:t>. i interesa dioničara koji proizlazi iz odjeljivanja kontrole nad radom uprave i vlasništvom nad dioničkim društvom</w:t>
      </w:r>
    </w:p>
    <w:p w:rsidR="00DE665D" w:rsidRPr="00293517" w:rsidRDefault="00DE665D" w:rsidP="00DE665D">
      <w:pPr>
        <w:pStyle w:val="NoSpacing"/>
        <w:rPr>
          <w:sz w:val="24"/>
        </w:rPr>
      </w:pPr>
      <w:r w:rsidRPr="00293517">
        <w:rPr>
          <w:sz w:val="24"/>
          <w:u w:val="single"/>
        </w:rPr>
        <w:t>ANGLOAMERIČKI MODEL</w:t>
      </w:r>
      <w:r w:rsidRPr="00293517">
        <w:rPr>
          <w:sz w:val="24"/>
        </w:rPr>
        <w:t xml:space="preserve"> – karakterizira raspršenost dioničara koji drže male udjele u temeljnom kapitalu u TD</w:t>
      </w:r>
    </w:p>
    <w:p w:rsidR="00DE665D" w:rsidRPr="00293517" w:rsidRDefault="00DE665D" w:rsidP="00DE665D">
      <w:pPr>
        <w:pStyle w:val="NoSpacing"/>
        <w:rPr>
          <w:sz w:val="24"/>
        </w:rPr>
      </w:pPr>
      <w:r w:rsidRPr="00293517">
        <w:rPr>
          <w:sz w:val="24"/>
          <w:u w:val="single"/>
        </w:rPr>
        <w:t>KONTINENTALNI MODEL</w:t>
      </w:r>
      <w:r w:rsidRPr="00293517">
        <w:rPr>
          <w:sz w:val="24"/>
        </w:rPr>
        <w:t xml:space="preserve"> – obilježava postojanje jednog ili više većinskih dioničara koji ostvaruju kontrolu nad dioničkim društvima, bogati pojedinci, obitelji, fondovi</w:t>
      </w:r>
    </w:p>
    <w:p w:rsidR="00DE665D" w:rsidRPr="00293517" w:rsidRDefault="00DE665D" w:rsidP="00DE665D">
      <w:pPr>
        <w:pStyle w:val="NoSpacing"/>
        <w:rPr>
          <w:sz w:val="24"/>
        </w:rPr>
      </w:pPr>
      <w:r>
        <w:rPr>
          <w:sz w:val="24"/>
        </w:rPr>
        <w:t>Čimbenici:</w:t>
      </w:r>
    </w:p>
    <w:p w:rsidR="00DE665D" w:rsidRPr="00293517" w:rsidRDefault="00DE665D" w:rsidP="00DE665D">
      <w:pPr>
        <w:pStyle w:val="NoSpacing"/>
        <w:rPr>
          <w:sz w:val="24"/>
        </w:rPr>
      </w:pPr>
      <w:r w:rsidRPr="00293517">
        <w:rPr>
          <w:sz w:val="24"/>
          <w:u w:val="single"/>
        </w:rPr>
        <w:t>Unutarnji</w:t>
      </w:r>
      <w:r w:rsidRPr="00293517">
        <w:rPr>
          <w:sz w:val="24"/>
        </w:rPr>
        <w:t>:odnos upravnih i nadzornih organa unutar, unutarnje korporativno upravljanje</w:t>
      </w:r>
    </w:p>
    <w:p w:rsidR="00DE665D" w:rsidRPr="00293517" w:rsidRDefault="00DE665D" w:rsidP="00DE665D">
      <w:pPr>
        <w:pStyle w:val="NoSpacing"/>
        <w:rPr>
          <w:sz w:val="24"/>
        </w:rPr>
      </w:pPr>
      <w:r w:rsidRPr="00293517">
        <w:rPr>
          <w:sz w:val="24"/>
          <w:u w:val="single"/>
        </w:rPr>
        <w:t>Vanjski</w:t>
      </w:r>
      <w:r w:rsidRPr="00293517">
        <w:rPr>
          <w:sz w:val="24"/>
        </w:rPr>
        <w:t>:tržište kapitala</w:t>
      </w:r>
    </w:p>
    <w:p w:rsidR="00DE665D" w:rsidRPr="00293517" w:rsidRDefault="00DE665D" w:rsidP="00DE665D">
      <w:pPr>
        <w:pStyle w:val="NoSpacing"/>
        <w:rPr>
          <w:sz w:val="24"/>
        </w:rPr>
      </w:pPr>
      <w:r w:rsidRPr="00293517">
        <w:rPr>
          <w:sz w:val="24"/>
        </w:rPr>
        <w:t>-U</w:t>
      </w:r>
      <w:r>
        <w:rPr>
          <w:sz w:val="24"/>
        </w:rPr>
        <w:t xml:space="preserve"> </w:t>
      </w:r>
      <w:r w:rsidRPr="00293517">
        <w:rPr>
          <w:sz w:val="24"/>
        </w:rPr>
        <w:t xml:space="preserve">okviru unutarnjeg KU analizira se ustrojstvo </w:t>
      </w:r>
      <w:proofErr w:type="spellStart"/>
      <w:r w:rsidRPr="00293517">
        <w:rPr>
          <w:sz w:val="24"/>
        </w:rPr>
        <w:t>d.d</w:t>
      </w:r>
      <w:proofErr w:type="spellEnd"/>
      <w:r w:rsidRPr="00293517">
        <w:rPr>
          <w:sz w:val="24"/>
        </w:rPr>
        <w:t>. te se uočavaju dva osnovna ustroja:</w:t>
      </w:r>
    </w:p>
    <w:p w:rsidR="00DE665D" w:rsidRPr="00293517" w:rsidRDefault="00DE665D" w:rsidP="00DE665D">
      <w:pPr>
        <w:pStyle w:val="NoSpacing"/>
        <w:rPr>
          <w:sz w:val="24"/>
        </w:rPr>
      </w:pPr>
      <w:r w:rsidRPr="00293517">
        <w:rPr>
          <w:sz w:val="24"/>
          <w:u w:val="single"/>
        </w:rPr>
        <w:t>MONISTIČKI USTROJ</w:t>
      </w:r>
      <w:r w:rsidRPr="00293517">
        <w:rPr>
          <w:sz w:val="24"/>
        </w:rPr>
        <w:t>:obilježava države angloameričke pravne tradicije, jedan organ, jedan upravni odbor i izvršni članovi</w:t>
      </w:r>
    </w:p>
    <w:p w:rsidR="00DE665D" w:rsidRPr="00293517" w:rsidRDefault="00DE665D" w:rsidP="00DE665D">
      <w:pPr>
        <w:pStyle w:val="NoSpacing"/>
        <w:rPr>
          <w:sz w:val="24"/>
        </w:rPr>
      </w:pPr>
      <w:r w:rsidRPr="00293517">
        <w:rPr>
          <w:sz w:val="24"/>
          <w:u w:val="single"/>
        </w:rPr>
        <w:t>DUALISTIČKI USTROJ</w:t>
      </w:r>
      <w:r w:rsidRPr="00293517">
        <w:rPr>
          <w:sz w:val="24"/>
        </w:rPr>
        <w:t xml:space="preserve">:obilježava države kontinentalne pravne tradicije, </w:t>
      </w:r>
      <w:proofErr w:type="spellStart"/>
      <w:r w:rsidRPr="00293517">
        <w:rPr>
          <w:sz w:val="24"/>
        </w:rPr>
        <w:t>zasebnaa</w:t>
      </w:r>
      <w:proofErr w:type="spellEnd"/>
      <w:r w:rsidRPr="00293517">
        <w:rPr>
          <w:sz w:val="24"/>
        </w:rPr>
        <w:t xml:space="preserve"> uprava i nadzorni odbor</w:t>
      </w:r>
    </w:p>
    <w:p w:rsidR="00DE665D" w:rsidRPr="00293517" w:rsidRDefault="00DE665D" w:rsidP="00DE665D">
      <w:pPr>
        <w:pStyle w:val="NoSpacing"/>
        <w:rPr>
          <w:sz w:val="24"/>
        </w:rPr>
      </w:pPr>
      <w:r w:rsidRPr="00293517">
        <w:rPr>
          <w:sz w:val="24"/>
        </w:rPr>
        <w:t>Kodeksi KU:</w:t>
      </w:r>
    </w:p>
    <w:p w:rsidR="00DE665D" w:rsidRPr="00293517" w:rsidRDefault="00DE665D" w:rsidP="00DE665D">
      <w:pPr>
        <w:pStyle w:val="NoSpacing"/>
        <w:rPr>
          <w:sz w:val="24"/>
        </w:rPr>
      </w:pPr>
      <w:r w:rsidRPr="00293517">
        <w:rPr>
          <w:sz w:val="24"/>
        </w:rPr>
        <w:t>-Brojni problemi vezani za KU potakli su izradu nacionalnog kodeksa korporativnog upravljanja početkom 90ih u europskim državama</w:t>
      </w:r>
    </w:p>
    <w:p w:rsidR="00DE665D" w:rsidRPr="00293517" w:rsidRDefault="00DE665D" w:rsidP="00DE665D">
      <w:pPr>
        <w:pStyle w:val="NoSpacing"/>
        <w:rPr>
          <w:sz w:val="24"/>
        </w:rPr>
      </w:pPr>
      <w:r w:rsidRPr="00293517">
        <w:rPr>
          <w:sz w:val="24"/>
        </w:rPr>
        <w:t>-Treba razlikovati KU na razini određene države u cjelini od upravljanja na razini jednog TD</w:t>
      </w:r>
    </w:p>
    <w:p w:rsidR="00DE665D" w:rsidRPr="00293517" w:rsidRDefault="00DE665D" w:rsidP="00DE665D">
      <w:pPr>
        <w:pStyle w:val="NoSpacing"/>
        <w:rPr>
          <w:sz w:val="24"/>
        </w:rPr>
      </w:pPr>
      <w:r w:rsidRPr="00293517">
        <w:rPr>
          <w:sz w:val="24"/>
        </w:rPr>
        <w:t>-u preporukama EK</w:t>
      </w:r>
    </w:p>
    <w:p w:rsidR="00DE665D" w:rsidRPr="00293517" w:rsidRDefault="00DE665D" w:rsidP="00DE665D">
      <w:pPr>
        <w:pStyle w:val="NoSpacing"/>
        <w:rPr>
          <w:sz w:val="24"/>
        </w:rPr>
      </w:pPr>
    </w:p>
    <w:p w:rsidR="00DE665D" w:rsidRPr="00293517" w:rsidRDefault="00DE665D" w:rsidP="00DE665D">
      <w:pPr>
        <w:pStyle w:val="NoSpacing"/>
        <w:rPr>
          <w:sz w:val="28"/>
        </w:rPr>
      </w:pPr>
    </w:p>
    <w:p w:rsidR="00DE665D" w:rsidRDefault="00DE665D" w:rsidP="00CC0E45">
      <w:pPr>
        <w:pStyle w:val="Heading2"/>
        <w:rPr>
          <w:sz w:val="28"/>
        </w:rPr>
      </w:pPr>
    </w:p>
    <w:p w:rsidR="00CC0E45" w:rsidRPr="00CC0E45" w:rsidRDefault="00CC0E45" w:rsidP="00CC0E45">
      <w:pPr>
        <w:pStyle w:val="Heading2"/>
        <w:rPr>
          <w:sz w:val="28"/>
        </w:rPr>
      </w:pPr>
      <w:r w:rsidRPr="00CC0E45">
        <w:rPr>
          <w:sz w:val="28"/>
        </w:rPr>
        <w:t xml:space="preserve">Sloboda poslovnog </w:t>
      </w:r>
      <w:proofErr w:type="spellStart"/>
      <w:r w:rsidRPr="00CC0E45">
        <w:rPr>
          <w:sz w:val="28"/>
        </w:rPr>
        <w:t>nastana</w:t>
      </w:r>
      <w:proofErr w:type="spellEnd"/>
      <w:r w:rsidRPr="00CC0E45">
        <w:rPr>
          <w:sz w:val="28"/>
        </w:rPr>
        <w:t xml:space="preserve"> trgovačkih društava</w:t>
      </w:r>
    </w:p>
    <w:p w:rsidR="00CC0E45" w:rsidRPr="00CC0E45" w:rsidRDefault="00CC0E45" w:rsidP="00CC0E45">
      <w:pPr>
        <w:pStyle w:val="NoSpacing"/>
        <w:rPr>
          <w:sz w:val="24"/>
        </w:rPr>
      </w:pP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-presude ES u </w:t>
      </w:r>
      <w:proofErr w:type="spellStart"/>
      <w:r w:rsidRPr="00CC0E45">
        <w:rPr>
          <w:sz w:val="24"/>
        </w:rPr>
        <w:t>Luxemburgu</w:t>
      </w:r>
      <w:proofErr w:type="spellEnd"/>
      <w:r w:rsidRPr="00CC0E45">
        <w:rPr>
          <w:sz w:val="24"/>
        </w:rPr>
        <w:t>, različito od nacionalnih presuda!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-jedna od 4 tržišne slobode, dio slobode pružanja usluga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 mora postojati prekogranični element da bi se moglo primjenjivati Europsko pravo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-jamči se </w:t>
      </w:r>
      <w:proofErr w:type="spellStart"/>
      <w:r w:rsidRPr="00CC0E45">
        <w:rPr>
          <w:sz w:val="24"/>
        </w:rPr>
        <w:t>Lisabonskim</w:t>
      </w:r>
      <w:proofErr w:type="spellEnd"/>
      <w:r w:rsidRPr="00CC0E45">
        <w:rPr>
          <w:sz w:val="24"/>
        </w:rPr>
        <w:t xml:space="preserve"> ugovorom UFEU – garantira se da neće doći do zabrane poslovnog </w:t>
      </w:r>
      <w:proofErr w:type="spellStart"/>
      <w:r w:rsidRPr="00CC0E45">
        <w:rPr>
          <w:sz w:val="24"/>
        </w:rPr>
        <w:t>nastana</w:t>
      </w:r>
      <w:proofErr w:type="spellEnd"/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-49. I 54. </w:t>
      </w:r>
      <w:proofErr w:type="spellStart"/>
      <w:r w:rsidRPr="00CC0E45">
        <w:rPr>
          <w:sz w:val="24"/>
        </w:rPr>
        <w:t>Čl</w:t>
      </w:r>
      <w:proofErr w:type="spellEnd"/>
      <w:r w:rsidRPr="00CC0E45">
        <w:rPr>
          <w:sz w:val="24"/>
        </w:rPr>
        <w:t xml:space="preserve">  UFEU : Uključuje i pravo na osnivanje zastupništva, društava kćeri i podružnica, zabrana diskriminacije (različito ponašanje prema domaćim i stranim državljanima u DČ)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Slučajevi: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-Fizička osoba se želi trajno poslovno nastaniti u drugoj DČ i tamo želi pružati usluge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 Trgovačko društvo želi obavljati djelatnost u drugoj DČ: moraju tamo prenijeti sjedište ili tamo osnovati trgovačko društvo</w:t>
      </w:r>
    </w:p>
    <w:p w:rsidR="00CC0E45" w:rsidRPr="00CC0E45" w:rsidRDefault="00CC0E45" w:rsidP="00CC0E45">
      <w:pPr>
        <w:pStyle w:val="NoSpacing"/>
        <w:rPr>
          <w:sz w:val="24"/>
        </w:rPr>
      </w:pPr>
    </w:p>
    <w:p w:rsidR="00CC0E45" w:rsidRPr="00CC0E45" w:rsidRDefault="00CC0E45" w:rsidP="00CC0E45">
      <w:pPr>
        <w:pStyle w:val="Heading2"/>
        <w:rPr>
          <w:sz w:val="28"/>
        </w:rPr>
      </w:pPr>
      <w:r w:rsidRPr="00CC0E45">
        <w:rPr>
          <w:sz w:val="28"/>
        </w:rPr>
        <w:lastRenderedPageBreak/>
        <w:t xml:space="preserve">Poslovni </w:t>
      </w:r>
      <w:proofErr w:type="spellStart"/>
      <w:r w:rsidRPr="00CC0E45">
        <w:rPr>
          <w:sz w:val="28"/>
        </w:rPr>
        <w:t>nastan</w:t>
      </w:r>
      <w:proofErr w:type="spellEnd"/>
    </w:p>
    <w:p w:rsidR="00CC0E45" w:rsidRPr="00CC0E45" w:rsidRDefault="00CC0E45" w:rsidP="00CC0E45">
      <w:pPr>
        <w:rPr>
          <w:sz w:val="24"/>
        </w:rPr>
      </w:pP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-ima trajni ili stalni karakter , različito od periodičnog (sloboda pružanja usluga)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-primarni </w:t>
      </w:r>
      <w:proofErr w:type="spellStart"/>
      <w:r w:rsidRPr="00CC0E45">
        <w:rPr>
          <w:sz w:val="24"/>
        </w:rPr>
        <w:t>nastan</w:t>
      </w:r>
      <w:proofErr w:type="spellEnd"/>
      <w:r w:rsidRPr="00CC0E45">
        <w:rPr>
          <w:sz w:val="24"/>
        </w:rPr>
        <w:t>: u drugoj DČ može se osnovati novo trgovačko društvo ili prenijeti mjesto s kojeg se društvom upravlja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-sekundarni </w:t>
      </w:r>
      <w:proofErr w:type="spellStart"/>
      <w:r w:rsidRPr="00CC0E45">
        <w:rPr>
          <w:sz w:val="24"/>
        </w:rPr>
        <w:t>nastan</w:t>
      </w:r>
      <w:proofErr w:type="spellEnd"/>
      <w:r w:rsidRPr="00CC0E45">
        <w:rPr>
          <w:sz w:val="24"/>
        </w:rPr>
        <w:t>: u drugoj DČ može se osnovati društvo kćer, podružnica ili zastupstvo</w:t>
      </w:r>
    </w:p>
    <w:p w:rsidR="00CC0E45" w:rsidRPr="00CC0E45" w:rsidRDefault="00CC0E45" w:rsidP="00CC0E45">
      <w:pPr>
        <w:pStyle w:val="NoSpacing"/>
        <w:rPr>
          <w:sz w:val="24"/>
        </w:rPr>
      </w:pPr>
    </w:p>
    <w:p w:rsidR="00CC0E45" w:rsidRPr="00CC0E45" w:rsidRDefault="00CC0E45" w:rsidP="00CC0E45">
      <w:pPr>
        <w:pStyle w:val="Heading2"/>
        <w:rPr>
          <w:sz w:val="28"/>
        </w:rPr>
      </w:pPr>
      <w:r w:rsidRPr="00CC0E45">
        <w:rPr>
          <w:sz w:val="28"/>
        </w:rPr>
        <w:t xml:space="preserve">Prekogranični elementi vezani za poslovni </w:t>
      </w:r>
      <w:proofErr w:type="spellStart"/>
      <w:r w:rsidRPr="00CC0E45">
        <w:rPr>
          <w:sz w:val="28"/>
        </w:rPr>
        <w:t>nastan</w:t>
      </w:r>
      <w:proofErr w:type="spellEnd"/>
    </w:p>
    <w:p w:rsidR="00CC0E45" w:rsidRPr="00CC0E45" w:rsidRDefault="00CC0E45" w:rsidP="00CC0E45">
      <w:pPr>
        <w:pStyle w:val="NoSpacing"/>
        <w:rPr>
          <w:sz w:val="24"/>
        </w:rPr>
      </w:pP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-prekogranična spajanja i pripajanja društava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</w:t>
      </w:r>
      <w:proofErr w:type="spellStart"/>
      <w:r w:rsidRPr="00CC0E45">
        <w:rPr>
          <w:sz w:val="24"/>
        </w:rPr>
        <w:t>supranacionalni</w:t>
      </w:r>
      <w:proofErr w:type="spellEnd"/>
      <w:r w:rsidRPr="00CC0E45">
        <w:rPr>
          <w:sz w:val="24"/>
        </w:rPr>
        <w:t xml:space="preserve"> oblici trgovačkih društava:</w:t>
      </w:r>
    </w:p>
    <w:p w:rsidR="00CC0E45" w:rsidRPr="00CC0E45" w:rsidRDefault="00CC0E45" w:rsidP="00CC0E45">
      <w:pPr>
        <w:pStyle w:val="NoSpacing"/>
        <w:rPr>
          <w:sz w:val="24"/>
        </w:rPr>
      </w:pPr>
      <w:proofErr w:type="spellStart"/>
      <w:r w:rsidRPr="00CC0E45">
        <w:rPr>
          <w:sz w:val="24"/>
        </w:rPr>
        <w:t>European</w:t>
      </w:r>
      <w:proofErr w:type="spellEnd"/>
      <w:r w:rsidRPr="00CC0E45">
        <w:rPr>
          <w:sz w:val="24"/>
        </w:rPr>
        <w:t xml:space="preserve"> </w:t>
      </w:r>
      <w:proofErr w:type="spellStart"/>
      <w:r w:rsidRPr="00CC0E45">
        <w:rPr>
          <w:sz w:val="24"/>
        </w:rPr>
        <w:t>company</w:t>
      </w:r>
      <w:proofErr w:type="spellEnd"/>
    </w:p>
    <w:p w:rsidR="00CC0E45" w:rsidRPr="00CC0E45" w:rsidRDefault="00CC0E45" w:rsidP="00CC0E45">
      <w:pPr>
        <w:pStyle w:val="NoSpacing"/>
        <w:rPr>
          <w:sz w:val="24"/>
        </w:rPr>
      </w:pPr>
      <w:proofErr w:type="spellStart"/>
      <w:r w:rsidRPr="00CC0E45">
        <w:rPr>
          <w:sz w:val="24"/>
        </w:rPr>
        <w:t>European</w:t>
      </w:r>
      <w:proofErr w:type="spellEnd"/>
      <w:r w:rsidRPr="00CC0E45">
        <w:rPr>
          <w:sz w:val="24"/>
        </w:rPr>
        <w:t xml:space="preserve"> </w:t>
      </w:r>
      <w:proofErr w:type="spellStart"/>
      <w:r w:rsidRPr="00CC0E45">
        <w:rPr>
          <w:sz w:val="24"/>
        </w:rPr>
        <w:t>economic</w:t>
      </w:r>
      <w:proofErr w:type="spellEnd"/>
      <w:r w:rsidRPr="00CC0E45">
        <w:rPr>
          <w:sz w:val="24"/>
        </w:rPr>
        <w:t xml:space="preserve"> </w:t>
      </w:r>
      <w:proofErr w:type="spellStart"/>
      <w:r w:rsidRPr="00CC0E45">
        <w:rPr>
          <w:sz w:val="24"/>
        </w:rPr>
        <w:t>interest</w:t>
      </w:r>
      <w:proofErr w:type="spellEnd"/>
      <w:r w:rsidRPr="00CC0E45">
        <w:rPr>
          <w:sz w:val="24"/>
        </w:rPr>
        <w:t xml:space="preserve"> </w:t>
      </w:r>
      <w:proofErr w:type="spellStart"/>
      <w:r w:rsidRPr="00CC0E45">
        <w:rPr>
          <w:sz w:val="24"/>
        </w:rPr>
        <w:t>grouping</w:t>
      </w:r>
      <w:proofErr w:type="spellEnd"/>
    </w:p>
    <w:p w:rsidR="00CC0E45" w:rsidRPr="00CC0E45" w:rsidRDefault="00CC0E45" w:rsidP="00CC0E45">
      <w:pPr>
        <w:pStyle w:val="NoSpacing"/>
        <w:rPr>
          <w:sz w:val="24"/>
        </w:rPr>
      </w:pPr>
      <w:proofErr w:type="spellStart"/>
      <w:r w:rsidRPr="00CC0E45">
        <w:rPr>
          <w:sz w:val="24"/>
        </w:rPr>
        <w:t>European</w:t>
      </w:r>
      <w:proofErr w:type="spellEnd"/>
      <w:r w:rsidRPr="00CC0E45">
        <w:rPr>
          <w:sz w:val="24"/>
        </w:rPr>
        <w:t xml:space="preserve"> </w:t>
      </w:r>
      <w:proofErr w:type="spellStart"/>
      <w:r w:rsidRPr="00CC0E45">
        <w:rPr>
          <w:sz w:val="24"/>
        </w:rPr>
        <w:t>cooperative</w:t>
      </w:r>
      <w:proofErr w:type="spellEnd"/>
      <w:r w:rsidRPr="00CC0E45">
        <w:rPr>
          <w:sz w:val="24"/>
        </w:rPr>
        <w:t xml:space="preserve"> </w:t>
      </w:r>
      <w:proofErr w:type="spellStart"/>
      <w:r w:rsidRPr="00CC0E45">
        <w:rPr>
          <w:sz w:val="24"/>
        </w:rPr>
        <w:t>society</w:t>
      </w:r>
      <w:proofErr w:type="spellEnd"/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-prijedlozi:  </w:t>
      </w:r>
      <w:proofErr w:type="spellStart"/>
      <w:r w:rsidRPr="00CC0E45">
        <w:rPr>
          <w:sz w:val="24"/>
        </w:rPr>
        <w:t>European</w:t>
      </w:r>
      <w:proofErr w:type="spellEnd"/>
      <w:r w:rsidRPr="00CC0E45">
        <w:rPr>
          <w:sz w:val="24"/>
        </w:rPr>
        <w:t xml:space="preserve"> </w:t>
      </w:r>
      <w:proofErr w:type="spellStart"/>
      <w:r w:rsidRPr="00CC0E45">
        <w:rPr>
          <w:sz w:val="24"/>
        </w:rPr>
        <w:t>private</w:t>
      </w:r>
      <w:proofErr w:type="spellEnd"/>
      <w:r w:rsidRPr="00CC0E45">
        <w:rPr>
          <w:sz w:val="24"/>
        </w:rPr>
        <w:t xml:space="preserve"> </w:t>
      </w:r>
      <w:proofErr w:type="spellStart"/>
      <w:r w:rsidRPr="00CC0E45">
        <w:rPr>
          <w:sz w:val="24"/>
        </w:rPr>
        <w:t>company</w:t>
      </w:r>
      <w:proofErr w:type="spellEnd"/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-sloboda osnivanja znači pravo da se započne i obavlja djelatnost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-kretanje kapitala:  porezni razlozi - društva se sele da smanje porezno opterećenje, zato je to povezano s  poslovnim </w:t>
      </w:r>
      <w:proofErr w:type="spellStart"/>
      <w:r w:rsidRPr="00CC0E45">
        <w:rPr>
          <w:sz w:val="24"/>
        </w:rPr>
        <w:t>nastanom</w:t>
      </w:r>
      <w:proofErr w:type="spellEnd"/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-pravne osobe su tvorevine nacionalnog prava i treba ih se tretirati kao da su državljani članice iz koje dolaze – izjednačene s fizičkim osobama</w:t>
      </w:r>
    </w:p>
    <w:p w:rsid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Trgovačka društva – osnovana po pravilima građanskog ili trgovačkog prava uključujući i zadruge te ostale pravne osobe uređene javnim ili privatnim pravom, osim onih koje su neprofitne.</w:t>
      </w:r>
    </w:p>
    <w:p w:rsidR="00CC0E45" w:rsidRDefault="00CC0E45" w:rsidP="00CC0E45">
      <w:pPr>
        <w:pStyle w:val="NoSpacing"/>
        <w:rPr>
          <w:sz w:val="24"/>
        </w:rPr>
      </w:pPr>
    </w:p>
    <w:p w:rsidR="00CC0E45" w:rsidRDefault="00CC0E45" w:rsidP="00CC0E45">
      <w:pPr>
        <w:pStyle w:val="NoSpacing"/>
        <w:rPr>
          <w:sz w:val="24"/>
        </w:rPr>
      </w:pPr>
    </w:p>
    <w:p w:rsidR="00CC0E45" w:rsidRDefault="00CC0E45" w:rsidP="00CC0E45">
      <w:pPr>
        <w:pStyle w:val="NoSpacing"/>
        <w:rPr>
          <w:sz w:val="24"/>
        </w:rPr>
      </w:pPr>
    </w:p>
    <w:p w:rsidR="00CC0E45" w:rsidRPr="00CC0E45" w:rsidRDefault="00CC0E45" w:rsidP="00CC0E45">
      <w:pPr>
        <w:pStyle w:val="NoSpacing"/>
        <w:rPr>
          <w:sz w:val="24"/>
        </w:rPr>
      </w:pPr>
    </w:p>
    <w:p w:rsidR="00CC0E45" w:rsidRPr="00CC0E45" w:rsidRDefault="00CC0E45" w:rsidP="00CC0E45">
      <w:pPr>
        <w:pStyle w:val="NoSpacing"/>
        <w:rPr>
          <w:sz w:val="24"/>
        </w:rPr>
      </w:pPr>
    </w:p>
    <w:p w:rsidR="00CC0E45" w:rsidRPr="00CC0E45" w:rsidRDefault="00CC0E45" w:rsidP="00CC0E45">
      <w:pPr>
        <w:pStyle w:val="Heading2"/>
        <w:rPr>
          <w:sz w:val="28"/>
        </w:rPr>
      </w:pPr>
      <w:r w:rsidRPr="00CC0E45">
        <w:rPr>
          <w:sz w:val="28"/>
        </w:rPr>
        <w:t xml:space="preserve">Dopuštena ograničenja slobode poslovnog </w:t>
      </w:r>
      <w:proofErr w:type="spellStart"/>
      <w:r w:rsidRPr="00CC0E45">
        <w:rPr>
          <w:sz w:val="28"/>
        </w:rPr>
        <w:t>nastana</w:t>
      </w:r>
      <w:proofErr w:type="spellEnd"/>
    </w:p>
    <w:p w:rsidR="00CC0E45" w:rsidRPr="00CC0E45" w:rsidRDefault="00CC0E45" w:rsidP="00CC0E45">
      <w:pPr>
        <w:pStyle w:val="NoSpacing"/>
        <w:rPr>
          <w:sz w:val="24"/>
        </w:rPr>
      </w:pP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-ista i za slobodu pružanja usluga, kretanja kapitala, roba </w:t>
      </w:r>
      <w:proofErr w:type="spellStart"/>
      <w:r w:rsidRPr="00CC0E45">
        <w:rPr>
          <w:sz w:val="24"/>
        </w:rPr>
        <w:t>itd</w:t>
      </w:r>
      <w:proofErr w:type="spellEnd"/>
      <w:r w:rsidRPr="00CC0E45">
        <w:rPr>
          <w:sz w:val="24"/>
        </w:rPr>
        <w:t>.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- moguća diskriminacija: različito ponašanje prema domaćim i stranim </w:t>
      </w:r>
      <w:proofErr w:type="spellStart"/>
      <w:r w:rsidRPr="00CC0E45">
        <w:rPr>
          <w:sz w:val="24"/>
        </w:rPr>
        <w:t>držaavljanima</w:t>
      </w:r>
      <w:proofErr w:type="spellEnd"/>
      <w:r w:rsidRPr="00CC0E45">
        <w:rPr>
          <w:sz w:val="24"/>
        </w:rPr>
        <w:t>, nije dopušteno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-obavljanje javne službe: sloboda poslovnog </w:t>
      </w:r>
      <w:proofErr w:type="spellStart"/>
      <w:r w:rsidRPr="00CC0E45">
        <w:rPr>
          <w:sz w:val="24"/>
        </w:rPr>
        <w:t>nastana</w:t>
      </w:r>
      <w:proofErr w:type="spellEnd"/>
      <w:r w:rsidRPr="00CC0E45">
        <w:rPr>
          <w:sz w:val="24"/>
        </w:rPr>
        <w:t xml:space="preserve"> se ne primjenjuje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-opravdanja moguća temeljem: razlog javnog poretka, javne sigurnosti, javnog zdravlja</w:t>
      </w:r>
    </w:p>
    <w:p w:rsidR="00CC0E45" w:rsidRPr="00CC0E45" w:rsidRDefault="00CC0E45" w:rsidP="00CC0E45">
      <w:pPr>
        <w:pStyle w:val="NoSpacing"/>
        <w:rPr>
          <w:sz w:val="24"/>
        </w:rPr>
      </w:pPr>
      <w:proofErr w:type="spellStart"/>
      <w:r w:rsidRPr="00CC0E45">
        <w:rPr>
          <w:sz w:val="24"/>
        </w:rPr>
        <w:t>pr</w:t>
      </w:r>
      <w:proofErr w:type="spellEnd"/>
      <w:r w:rsidRPr="00CC0E45">
        <w:rPr>
          <w:sz w:val="24"/>
        </w:rPr>
        <w:t>. Prostitucija ne može za DČ u kojima nije legalizirana iako u Nizozemskoj jest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-razlozi razvijeni praksom ES utemeljeni na važnim razlozima javnog interesa (</w:t>
      </w:r>
      <w:proofErr w:type="spellStart"/>
      <w:r w:rsidRPr="00CC0E45">
        <w:rPr>
          <w:sz w:val="24"/>
        </w:rPr>
        <w:t>npr</w:t>
      </w:r>
      <w:proofErr w:type="spellEnd"/>
      <w:r w:rsidRPr="00CC0E45">
        <w:rPr>
          <w:sz w:val="24"/>
        </w:rPr>
        <w:t>. Zaštita potrošača)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-može se opravdati nacionalna mjera 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-ograničenje znači i učinak koji obavljanje neke djelatnosti čini manje privlačnom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-sudska praksa razvija uvjete dopuštenih ograničenja temeljem </w:t>
      </w:r>
      <w:proofErr w:type="spellStart"/>
      <w:r w:rsidRPr="00CC0E45">
        <w:rPr>
          <w:sz w:val="24"/>
        </w:rPr>
        <w:t>Gebhard</w:t>
      </w:r>
      <w:proofErr w:type="spellEnd"/>
      <w:r w:rsidRPr="00CC0E45">
        <w:rPr>
          <w:sz w:val="24"/>
        </w:rPr>
        <w:t xml:space="preserve"> testa: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ab/>
        <w:t>-mjere ne smiju biti diskriminatorne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ab/>
        <w:t>-moraju biti opravdane važnim zahtjevima u javnom interesu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ab/>
        <w:t>-moraju odgovarati cilju koji se želi postići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lastRenderedPageBreak/>
        <w:t>-samo u području koje nije harmonizirano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-da bi mjere bile dopuštene moraju proći taj test</w:t>
      </w:r>
    </w:p>
    <w:p w:rsidR="00CC0E45" w:rsidRPr="00CC0E45" w:rsidRDefault="00CC0E45" w:rsidP="00CC0E45">
      <w:pPr>
        <w:pStyle w:val="NoSpacing"/>
        <w:rPr>
          <w:sz w:val="24"/>
        </w:rPr>
      </w:pPr>
    </w:p>
    <w:p w:rsidR="00CC0E45" w:rsidRPr="00CC0E45" w:rsidRDefault="00CC0E45" w:rsidP="00CC0E45">
      <w:pPr>
        <w:pStyle w:val="Heading2"/>
        <w:rPr>
          <w:sz w:val="28"/>
        </w:rPr>
      </w:pPr>
      <w:r w:rsidRPr="00CC0E45">
        <w:rPr>
          <w:sz w:val="28"/>
        </w:rPr>
        <w:t>Teorije sjedišta</w:t>
      </w:r>
    </w:p>
    <w:p w:rsidR="00CC0E45" w:rsidRPr="00CC0E45" w:rsidRDefault="00CC0E45" w:rsidP="00CC0E45">
      <w:pPr>
        <w:pStyle w:val="NoSpacing"/>
        <w:rPr>
          <w:sz w:val="24"/>
        </w:rPr>
      </w:pP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-primjena na priznavanje, funkcioniranje društva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  <w:u w:val="single"/>
        </w:rPr>
        <w:t>Teorija stvarnog sjedišta</w:t>
      </w:r>
      <w:r>
        <w:rPr>
          <w:sz w:val="24"/>
        </w:rPr>
        <w:t xml:space="preserve"> – Z</w:t>
      </w:r>
      <w:r w:rsidRPr="00CC0E45">
        <w:rPr>
          <w:sz w:val="24"/>
        </w:rPr>
        <w:t>a trgovačko društvo vrijedi i mjerodavno je nacionalno pravo države u kojoj trgovačko društvo ima stvarno sjedište bez obzira gdje je osnovano. Primjenjuju je države kontinentalnog pravnog kruga.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  <w:u w:val="single"/>
        </w:rPr>
        <w:t>Teorija osnivanja</w:t>
      </w:r>
      <w:r w:rsidRPr="00CC0E45">
        <w:rPr>
          <w:sz w:val="24"/>
        </w:rPr>
        <w:t xml:space="preserve"> – Za pitanje ima li društvo pravnu sposobnost mjerodavno je pravo države u kojoj je društvo osnovano bez obzira na to gdje mu je stvarno sjedište. Primjenjuje je anglosaksonski pravni krug.</w:t>
      </w:r>
    </w:p>
    <w:p w:rsidR="00CC0E45" w:rsidRPr="00CC0E45" w:rsidRDefault="00CC0E45" w:rsidP="00CC0E45">
      <w:pPr>
        <w:pStyle w:val="NoSpacing"/>
        <w:rPr>
          <w:sz w:val="24"/>
        </w:rPr>
      </w:pP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-sukob dvije teorije dovodi do toga da sloboda poslovnog </w:t>
      </w:r>
      <w:proofErr w:type="spellStart"/>
      <w:r w:rsidRPr="00CC0E45">
        <w:rPr>
          <w:sz w:val="24"/>
        </w:rPr>
        <w:t>nastana</w:t>
      </w:r>
      <w:proofErr w:type="spellEnd"/>
      <w:r w:rsidRPr="00CC0E45">
        <w:rPr>
          <w:sz w:val="24"/>
        </w:rPr>
        <w:t xml:space="preserve"> postaje upitna, </w:t>
      </w:r>
      <w:proofErr w:type="spellStart"/>
      <w:r w:rsidRPr="00CC0E45">
        <w:rPr>
          <w:sz w:val="24"/>
        </w:rPr>
        <w:t>npr</w:t>
      </w:r>
      <w:proofErr w:type="spellEnd"/>
      <w:r w:rsidRPr="00CC0E45">
        <w:rPr>
          <w:sz w:val="24"/>
        </w:rPr>
        <w:t>. Jedna država članica primjenjuje prvu teoriju, a druga drugu, koje nacionalno pravo primijeniti?, do danas još nije odlučeno, isključivo mjerodavna praksa ES</w:t>
      </w:r>
    </w:p>
    <w:p w:rsidR="00CC0E45" w:rsidRPr="00CC0E45" w:rsidRDefault="00CC0E45" w:rsidP="00CC0E45">
      <w:pPr>
        <w:pStyle w:val="Heading2"/>
        <w:rPr>
          <w:sz w:val="28"/>
        </w:rPr>
      </w:pPr>
    </w:p>
    <w:p w:rsidR="00CC0E45" w:rsidRPr="00CC0E45" w:rsidRDefault="00CC0E45" w:rsidP="00CC0E45">
      <w:pPr>
        <w:pStyle w:val="Heading2"/>
        <w:rPr>
          <w:sz w:val="28"/>
        </w:rPr>
      </w:pPr>
      <w:r w:rsidRPr="00CC0E45">
        <w:rPr>
          <w:sz w:val="28"/>
        </w:rPr>
        <w:t>Premještanje sjedišta</w:t>
      </w:r>
    </w:p>
    <w:p w:rsidR="00CC0E45" w:rsidRPr="00CC0E45" w:rsidRDefault="00CC0E45" w:rsidP="00CC0E45">
      <w:pPr>
        <w:pStyle w:val="NoSpacing"/>
        <w:rPr>
          <w:sz w:val="24"/>
        </w:rPr>
      </w:pP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Teorija osnivanja (inkorporacije)  –zahtijeva se formalna odluka (UK , iznimka Nizozemska)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Teorija stvarnog sjedišta – donijeti odluku ili samo faktično premještanje</w:t>
      </w:r>
    </w:p>
    <w:p w:rsidR="00CC0E45" w:rsidRPr="00CC0E45" w:rsidRDefault="00CC0E45" w:rsidP="00CC0E45">
      <w:pPr>
        <w:pStyle w:val="NoSpacing"/>
        <w:rPr>
          <w:sz w:val="24"/>
          <w:u w:val="single"/>
        </w:rPr>
      </w:pPr>
      <w:r w:rsidRPr="00CC0E45">
        <w:rPr>
          <w:sz w:val="24"/>
          <w:u w:val="single"/>
        </w:rPr>
        <w:t>Imigracija društva – ulazak u DČ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</w:t>
      </w:r>
      <w:proofErr w:type="spellStart"/>
      <w:r w:rsidRPr="00CC0E45">
        <w:rPr>
          <w:sz w:val="24"/>
        </w:rPr>
        <w:t>pr</w:t>
      </w:r>
      <w:proofErr w:type="spellEnd"/>
      <w:r w:rsidRPr="00CC0E45">
        <w:rPr>
          <w:sz w:val="24"/>
        </w:rPr>
        <w:t xml:space="preserve">. Smije li se društvu uskratit sloboda poslovnog </w:t>
      </w:r>
      <w:proofErr w:type="spellStart"/>
      <w:r w:rsidRPr="00CC0E45">
        <w:rPr>
          <w:sz w:val="24"/>
        </w:rPr>
        <w:t>nastana</w:t>
      </w:r>
      <w:proofErr w:type="spellEnd"/>
      <w:r w:rsidRPr="00CC0E45">
        <w:rPr>
          <w:sz w:val="24"/>
        </w:rPr>
        <w:t xml:space="preserve"> kako bi se zaobišlo nepovoljne domaće propise (</w:t>
      </w:r>
      <w:proofErr w:type="spellStart"/>
      <w:r w:rsidRPr="00CC0E45">
        <w:rPr>
          <w:sz w:val="24"/>
        </w:rPr>
        <w:t>Centros</w:t>
      </w:r>
      <w:proofErr w:type="spellEnd"/>
      <w:r w:rsidRPr="00CC0E45">
        <w:rPr>
          <w:sz w:val="24"/>
        </w:rPr>
        <w:t>)</w:t>
      </w:r>
    </w:p>
    <w:p w:rsidR="00CC0E45" w:rsidRPr="00CC0E45" w:rsidRDefault="00CC0E45" w:rsidP="00CC0E45">
      <w:pPr>
        <w:pStyle w:val="NoSpacing"/>
        <w:rPr>
          <w:sz w:val="24"/>
          <w:u w:val="single"/>
        </w:rPr>
      </w:pPr>
      <w:r w:rsidRPr="00CC0E45">
        <w:rPr>
          <w:sz w:val="24"/>
          <w:u w:val="single"/>
        </w:rPr>
        <w:t>Emigracija – izlazak iz DČ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</w:t>
      </w:r>
      <w:r>
        <w:t xml:space="preserve">pr. </w:t>
      </w:r>
      <w:r w:rsidRPr="00CC0E45">
        <w:rPr>
          <w:sz w:val="24"/>
        </w:rPr>
        <w:t xml:space="preserve">Daily Mail and General Trust, </w:t>
      </w:r>
      <w:proofErr w:type="spellStart"/>
      <w:r w:rsidRPr="00CC0E45">
        <w:rPr>
          <w:sz w:val="24"/>
        </w:rPr>
        <w:t>Centros</w:t>
      </w:r>
      <w:proofErr w:type="spellEnd"/>
      <w:r w:rsidRPr="00CC0E45">
        <w:rPr>
          <w:sz w:val="24"/>
        </w:rPr>
        <w:t xml:space="preserve"> (predmeti)</w:t>
      </w:r>
    </w:p>
    <w:p w:rsidR="00CC0E45" w:rsidRPr="00CC0E45" w:rsidRDefault="00CC0E45" w:rsidP="00CC0E45">
      <w:pPr>
        <w:pStyle w:val="NoSpacing"/>
        <w:rPr>
          <w:sz w:val="24"/>
        </w:rPr>
      </w:pPr>
      <w:r>
        <w:t>-r</w:t>
      </w:r>
      <w:r w:rsidRPr="00CC0E45">
        <w:rPr>
          <w:sz w:val="24"/>
        </w:rPr>
        <w:t xml:space="preserve">azlozi zbog kojih DČ zabranjuje premještanje sjedišta u drugu DČ bez </w:t>
      </w:r>
      <w:proofErr w:type="spellStart"/>
      <w:r w:rsidRPr="00CC0E45">
        <w:rPr>
          <w:sz w:val="24"/>
        </w:rPr>
        <w:t>likvicacije</w:t>
      </w:r>
      <w:proofErr w:type="spellEnd"/>
      <w:r w:rsidRPr="00CC0E45">
        <w:rPr>
          <w:sz w:val="24"/>
        </w:rPr>
        <w:t>: -zaštita(vjerovnici…)</w:t>
      </w:r>
    </w:p>
    <w:p w:rsidR="00CC0E45" w:rsidRPr="00CC0E45" w:rsidRDefault="00CC0E45" w:rsidP="00CC0E45">
      <w:pPr>
        <w:pStyle w:val="Heading2"/>
        <w:rPr>
          <w:sz w:val="28"/>
        </w:rPr>
      </w:pPr>
      <w:r w:rsidRPr="00CC0E45">
        <w:rPr>
          <w:sz w:val="28"/>
        </w:rPr>
        <w:t xml:space="preserve">Posljedice ostvarivanja prava slobode poslovnog </w:t>
      </w:r>
      <w:proofErr w:type="spellStart"/>
      <w:r w:rsidRPr="00CC0E45">
        <w:rPr>
          <w:sz w:val="28"/>
        </w:rPr>
        <w:t>nastana</w:t>
      </w:r>
      <w:proofErr w:type="spellEnd"/>
    </w:p>
    <w:p w:rsidR="00CC0E45" w:rsidRPr="00CC0E45" w:rsidRDefault="00CC0E45" w:rsidP="00CC0E45">
      <w:pPr>
        <w:pStyle w:val="NoSpacing"/>
        <w:rPr>
          <w:sz w:val="24"/>
        </w:rPr>
      </w:pP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-mora se priznati pravna osobnost društava osnovanih po pravu DČ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-izbor mjesta osnivanja ne znači prijevarno zaobilaženje i zloupotrebu prava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-ograničenja samo po opravdanjima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-sloboda izbora 'najpovoljnijeg prava'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-niti države koje primjenjuju teoriju stvarnog sjedišta ne mogu osigurati primjenu vlastitog prava društava koja suštinski posluju na njenom teritoriju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-konkurencija pravnog poretka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-migracija društava/ulaganja u povoljniji pravni poredak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-države žele stvoriti komparativne prednosti zakonodavstava radi privlačenja ulaganja: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ab/>
        <w:t>-suodlučivanje zaposlenika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ab/>
        <w:t>-zaštita vjerovnika kroz institut temeljnog kapitala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ab/>
        <w:t>-zaštita manjinskih članova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-prednosti uređenja prava društva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lastRenderedPageBreak/>
        <w:t>-harmonizacija prava društava</w:t>
      </w:r>
    </w:p>
    <w:p w:rsidR="00CC0E45" w:rsidRPr="00CC0E45" w:rsidRDefault="00CC0E45" w:rsidP="00CC0E45">
      <w:pPr>
        <w:pStyle w:val="Heading2"/>
        <w:rPr>
          <w:sz w:val="28"/>
        </w:rPr>
      </w:pPr>
    </w:p>
    <w:p w:rsidR="00CC0E45" w:rsidRPr="00CC0E45" w:rsidRDefault="00CC0E45" w:rsidP="00CC0E45">
      <w:pPr>
        <w:pStyle w:val="Heading2"/>
        <w:rPr>
          <w:sz w:val="28"/>
        </w:rPr>
      </w:pPr>
      <w:r w:rsidRPr="00CC0E45">
        <w:rPr>
          <w:sz w:val="28"/>
        </w:rPr>
        <w:t xml:space="preserve">Razvoj sudske prakse u području slobode poslovnog </w:t>
      </w:r>
      <w:proofErr w:type="spellStart"/>
      <w:r w:rsidRPr="00CC0E45">
        <w:rPr>
          <w:sz w:val="28"/>
        </w:rPr>
        <w:t>nastana</w:t>
      </w:r>
      <w:proofErr w:type="spellEnd"/>
      <w:r w:rsidRPr="00CC0E45">
        <w:rPr>
          <w:sz w:val="28"/>
        </w:rPr>
        <w:t xml:space="preserve"> 87.-danas</w:t>
      </w:r>
    </w:p>
    <w:p w:rsidR="00CC0E45" w:rsidRPr="00CC0E45" w:rsidRDefault="00CC0E45" w:rsidP="00CC0E45">
      <w:pPr>
        <w:pStyle w:val="NoSpacing"/>
        <w:rPr>
          <w:sz w:val="24"/>
        </w:rPr>
      </w:pP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C-81/87 </w:t>
      </w:r>
      <w:proofErr w:type="spellStart"/>
      <w:r w:rsidRPr="00CC0E45">
        <w:rPr>
          <w:sz w:val="24"/>
        </w:rPr>
        <w:t>Daily</w:t>
      </w:r>
      <w:proofErr w:type="spellEnd"/>
      <w:r w:rsidRPr="00CC0E45">
        <w:rPr>
          <w:sz w:val="24"/>
        </w:rPr>
        <w:t xml:space="preserve"> mail </w:t>
      </w:r>
      <w:proofErr w:type="spellStart"/>
      <w:r w:rsidRPr="00CC0E45">
        <w:rPr>
          <w:sz w:val="24"/>
        </w:rPr>
        <w:t>and</w:t>
      </w:r>
      <w:proofErr w:type="spellEnd"/>
      <w:r w:rsidRPr="00CC0E45">
        <w:rPr>
          <w:sz w:val="24"/>
        </w:rPr>
        <w:t xml:space="preserve"> General Trust [1988]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C-212/97 </w:t>
      </w:r>
      <w:proofErr w:type="spellStart"/>
      <w:r w:rsidRPr="00CC0E45">
        <w:rPr>
          <w:sz w:val="24"/>
        </w:rPr>
        <w:t>Centros</w:t>
      </w:r>
      <w:proofErr w:type="spellEnd"/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C-208/00 </w:t>
      </w:r>
      <w:proofErr w:type="spellStart"/>
      <w:r w:rsidRPr="00CC0E45">
        <w:rPr>
          <w:sz w:val="24"/>
        </w:rPr>
        <w:t>Ueberseering</w:t>
      </w:r>
      <w:proofErr w:type="spellEnd"/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C-167/01 </w:t>
      </w:r>
      <w:proofErr w:type="spellStart"/>
      <w:r w:rsidRPr="00CC0E45">
        <w:rPr>
          <w:sz w:val="24"/>
        </w:rPr>
        <w:t>Inspire</w:t>
      </w:r>
      <w:proofErr w:type="spellEnd"/>
      <w:r w:rsidRPr="00CC0E45">
        <w:rPr>
          <w:sz w:val="24"/>
        </w:rPr>
        <w:t xml:space="preserve"> </w:t>
      </w:r>
      <w:proofErr w:type="spellStart"/>
      <w:r w:rsidRPr="00CC0E45">
        <w:rPr>
          <w:sz w:val="24"/>
        </w:rPr>
        <w:t>Art</w:t>
      </w:r>
      <w:proofErr w:type="spellEnd"/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C- 411/03 </w:t>
      </w:r>
      <w:proofErr w:type="spellStart"/>
      <w:r w:rsidRPr="00CC0E45">
        <w:rPr>
          <w:sz w:val="24"/>
        </w:rPr>
        <w:t>Servic</w:t>
      </w:r>
      <w:proofErr w:type="spellEnd"/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C-210/06 </w:t>
      </w:r>
      <w:proofErr w:type="spellStart"/>
      <w:r w:rsidRPr="00CC0E45">
        <w:rPr>
          <w:sz w:val="24"/>
        </w:rPr>
        <w:t>Cartesio</w:t>
      </w:r>
      <w:proofErr w:type="spellEnd"/>
      <w:r w:rsidRPr="00CC0E45">
        <w:rPr>
          <w:sz w:val="24"/>
        </w:rPr>
        <w:t xml:space="preserve"> – Mađarska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-ne dođu svi predmeti pred ES, samo odabrani</w:t>
      </w:r>
    </w:p>
    <w:p w:rsidR="00CC0E45" w:rsidRPr="00CC0E45" w:rsidRDefault="00CC0E45" w:rsidP="00CC0E45">
      <w:pPr>
        <w:pStyle w:val="Heading2"/>
        <w:rPr>
          <w:sz w:val="28"/>
        </w:rPr>
      </w:pPr>
    </w:p>
    <w:p w:rsidR="00CC0E45" w:rsidRPr="00CC0E45" w:rsidRDefault="00CC0E45" w:rsidP="00CC0E45">
      <w:pPr>
        <w:pStyle w:val="Heading2"/>
        <w:rPr>
          <w:sz w:val="28"/>
        </w:rPr>
      </w:pPr>
      <w:proofErr w:type="spellStart"/>
      <w:r w:rsidRPr="00CC0E45">
        <w:rPr>
          <w:sz w:val="28"/>
        </w:rPr>
        <w:t>Daily</w:t>
      </w:r>
      <w:proofErr w:type="spellEnd"/>
      <w:r w:rsidRPr="00CC0E45">
        <w:rPr>
          <w:sz w:val="28"/>
        </w:rPr>
        <w:t xml:space="preserve"> </w:t>
      </w:r>
      <w:proofErr w:type="spellStart"/>
      <w:r w:rsidRPr="00CC0E45">
        <w:rPr>
          <w:sz w:val="28"/>
        </w:rPr>
        <w:t>Mail</w:t>
      </w:r>
      <w:proofErr w:type="spellEnd"/>
      <w:r w:rsidRPr="00CC0E45">
        <w:rPr>
          <w:sz w:val="28"/>
        </w:rPr>
        <w:t xml:space="preserve"> </w:t>
      </w:r>
      <w:proofErr w:type="spellStart"/>
      <w:r w:rsidRPr="00CC0E45">
        <w:rPr>
          <w:sz w:val="28"/>
        </w:rPr>
        <w:t>and</w:t>
      </w:r>
      <w:proofErr w:type="spellEnd"/>
      <w:r w:rsidRPr="00CC0E45">
        <w:rPr>
          <w:sz w:val="28"/>
        </w:rPr>
        <w:t xml:space="preserve"> General Trust [1988]</w:t>
      </w:r>
    </w:p>
    <w:p w:rsidR="00CC0E45" w:rsidRPr="00CC0E45" w:rsidRDefault="00CC0E45" w:rsidP="00CC0E45">
      <w:pPr>
        <w:pStyle w:val="NoSpacing"/>
        <w:rPr>
          <w:sz w:val="24"/>
        </w:rPr>
      </w:pP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-prvi predmet u kojem se odlučivalo o primjeni Ugovora na prekogranični prijenos sjedišta društava VB  </w:t>
      </w:r>
      <w:r w:rsidRPr="00CC0E45">
        <w:rPr>
          <w:rFonts w:ascii="Cambria" w:hAnsi="Cambria" w:cs="Cambria"/>
          <w:sz w:val="24"/>
        </w:rPr>
        <w:sym w:font="Wingdings" w:char="F0E0"/>
      </w:r>
      <w:r w:rsidRPr="00CC0E45">
        <w:rPr>
          <w:rFonts w:ascii="Cambria" w:hAnsi="Cambria" w:cs="Cambria"/>
          <w:sz w:val="24"/>
        </w:rPr>
        <w:t xml:space="preserve"> Niz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-htjeli preseliti sjedište da budu porezni obveznici u Nizozemskoj i prestanu biti porezni obveznici u VB, VB im to zabranila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-Britansko pravo: porezni smisao – mjerodavno je mjesto u kojem je uprava društva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 xml:space="preserve">-tek u </w:t>
      </w:r>
      <w:proofErr w:type="spellStart"/>
      <w:r w:rsidRPr="00CC0E45">
        <w:rPr>
          <w:sz w:val="24"/>
        </w:rPr>
        <w:t>Cartesiu</w:t>
      </w:r>
      <w:proofErr w:type="spellEnd"/>
      <w:r w:rsidRPr="00CC0E45">
        <w:rPr>
          <w:sz w:val="24"/>
        </w:rPr>
        <w:t xml:space="preserve"> 2008. God ponovno se ES poziva na presudu u ovom predmetu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-pitanje: primjena odredbi o poslovnom nastanu iz Ugovora ili ne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-Komisija:  -o nacionalnom pravu  ovisi dopuštenost da društvo postane rezidentnom DČ, ako nije dopušteno, ne primjenjuje se Ugovor, ako jest, primjenjuje se Ugovor</w:t>
      </w:r>
    </w:p>
    <w:p w:rsid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-ES: -zastupa obranu nacionalnih restriktivnih pravila smatraju</w:t>
      </w:r>
      <w:r>
        <w:rPr>
          <w:sz w:val="24"/>
        </w:rPr>
        <w:t>ći da se ne primjenjuju odredbe U</w:t>
      </w:r>
      <w:r w:rsidRPr="00CC0E45">
        <w:rPr>
          <w:sz w:val="24"/>
        </w:rPr>
        <w:t xml:space="preserve">govora o slobodi poslovnog </w:t>
      </w:r>
      <w:proofErr w:type="spellStart"/>
      <w:r w:rsidRPr="00CC0E45">
        <w:rPr>
          <w:sz w:val="24"/>
        </w:rPr>
        <w:t>nastana</w:t>
      </w:r>
      <w:proofErr w:type="spellEnd"/>
      <w:r w:rsidRPr="00CC0E45">
        <w:rPr>
          <w:sz w:val="24"/>
        </w:rPr>
        <w:t>, prednost dana nacionalnom pravu u odnosu na Ugovor</w:t>
      </w:r>
    </w:p>
    <w:p w:rsidR="00CC0E45" w:rsidRPr="00CC0E45" w:rsidRDefault="00CC0E45" w:rsidP="00CC0E45">
      <w:pPr>
        <w:pStyle w:val="NoSpacing"/>
        <w:rPr>
          <w:sz w:val="24"/>
        </w:rPr>
      </w:pPr>
    </w:p>
    <w:p w:rsidR="00CC0E45" w:rsidRPr="00CC0E45" w:rsidRDefault="00CC0E45" w:rsidP="00CC0E45">
      <w:pPr>
        <w:pStyle w:val="Heading2"/>
        <w:rPr>
          <w:sz w:val="28"/>
        </w:rPr>
      </w:pPr>
      <w:proofErr w:type="spellStart"/>
      <w:r w:rsidRPr="00CC0E45">
        <w:rPr>
          <w:sz w:val="28"/>
        </w:rPr>
        <w:t>Centros</w:t>
      </w:r>
      <w:proofErr w:type="spellEnd"/>
      <w:r w:rsidRPr="00CC0E45">
        <w:rPr>
          <w:sz w:val="28"/>
        </w:rPr>
        <w:t xml:space="preserve"> [1999]</w:t>
      </w:r>
    </w:p>
    <w:p w:rsidR="00CC0E45" w:rsidRPr="00CC0E45" w:rsidRDefault="00CC0E45" w:rsidP="00CC0E45">
      <w:pPr>
        <w:pStyle w:val="NoSpacing"/>
        <w:rPr>
          <w:sz w:val="24"/>
        </w:rPr>
      </w:pP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-danski državljani da bi izbjegli plaćanje temeljnog kapitala u Danskoj, osnivaju trgovačko društvo u VB, tamo ne posluju, samo su osnovali društvo, traže od Danske da si u Danskoj osnuju podružnicu, Danska to ne dopušta (jer u VB ne posluju), smatraju to zlouporabom prava</w:t>
      </w:r>
    </w:p>
    <w:p w:rsidR="00CC0E45" w:rsidRPr="00CC0E45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-ES: smatra da se ne radi o zlouporabi prava, upravo je svrha odredbi UFEU omogućavanje da društva osnovana u jednoj DČ u kojoj imaju registrirano sjedište u drugoj DČ imaju podružnicu, preokret u razmišljanju, zabranjuje se nacionalno pravo, daje se prednost Ugovoru</w:t>
      </w:r>
    </w:p>
    <w:p w:rsidR="00423949" w:rsidRDefault="00CC0E45" w:rsidP="00CC0E45">
      <w:pPr>
        <w:pStyle w:val="NoSpacing"/>
        <w:rPr>
          <w:sz w:val="24"/>
        </w:rPr>
      </w:pPr>
      <w:r w:rsidRPr="00CC0E45">
        <w:rPr>
          <w:sz w:val="24"/>
        </w:rPr>
        <w:t>-posljedice: potaknula se regulatorna konkurencija</w:t>
      </w:r>
    </w:p>
    <w:p w:rsidR="00DE665D" w:rsidRDefault="00DE665D" w:rsidP="00CC0E45">
      <w:pPr>
        <w:pStyle w:val="NoSpacing"/>
        <w:rPr>
          <w:sz w:val="24"/>
        </w:rPr>
      </w:pPr>
    </w:p>
    <w:p w:rsidR="00DE665D" w:rsidRDefault="00DE665D" w:rsidP="00CC0E45">
      <w:pPr>
        <w:pStyle w:val="NoSpacing"/>
        <w:rPr>
          <w:sz w:val="24"/>
        </w:rPr>
      </w:pPr>
    </w:p>
    <w:p w:rsidR="00DE665D" w:rsidRDefault="00DE665D" w:rsidP="00DE665D">
      <w:pPr>
        <w:pStyle w:val="Heading1"/>
      </w:pPr>
      <w:proofErr w:type="spellStart"/>
      <w:r>
        <w:lastRenderedPageBreak/>
        <w:t>Uberseering</w:t>
      </w:r>
      <w:proofErr w:type="spellEnd"/>
    </w:p>
    <w:p w:rsidR="00DE665D" w:rsidRDefault="00DE665D" w:rsidP="00DE665D">
      <w:r>
        <w:t>-Društvo osnovano u Nizozemskoj , tamo mu je registrirano sjedište</w:t>
      </w:r>
    </w:p>
    <w:p w:rsidR="00DE665D" w:rsidRDefault="00DE665D" w:rsidP="00DE665D">
      <w:r>
        <w:t>-pitanje pravne i procesne sposobnosti u Njemačkoj društva osnovanog u Nizozemskoj koje ima stvarno sjedište u Njemačkoj</w:t>
      </w:r>
    </w:p>
    <w:p w:rsidR="00DE665D" w:rsidRDefault="00DE665D" w:rsidP="00DE665D">
      <w:r>
        <w:t>-Njemačka TSS – za procesnu sposobnost mjerodavno je njemačko pravo prema mjestu gdje društvo ima stvarno sjedište</w:t>
      </w:r>
    </w:p>
    <w:p w:rsidR="00DE665D" w:rsidRDefault="00DE665D" w:rsidP="00DE665D">
      <w:r>
        <w:t>-Društvu nije bila priznata procesna sposobnost pred njemačkim sudom</w:t>
      </w:r>
    </w:p>
    <w:p w:rsidR="00DE665D" w:rsidRDefault="00DE665D" w:rsidP="00DE665D">
      <w:r>
        <w:t xml:space="preserve">-priznanje društva od strane DČ u kojoj se društvo želi poslovno nastaniti preduvjet je prava slobode poslovnog </w:t>
      </w:r>
      <w:proofErr w:type="spellStart"/>
      <w:r>
        <w:t>nastana</w:t>
      </w:r>
      <w:proofErr w:type="spellEnd"/>
    </w:p>
    <w:p w:rsidR="00DE665D" w:rsidRDefault="00DE665D" w:rsidP="00DE665D">
      <w:r>
        <w:t>-stvarno sjedište preneseno u Njemačku obzirom da su sve udjele u društvu preuzeli njemački državljani</w:t>
      </w:r>
    </w:p>
    <w:p w:rsidR="00DE665D" w:rsidRDefault="00DE665D" w:rsidP="00DE665D">
      <w:r>
        <w:t xml:space="preserve">-zahtjev njemačkog zakonodavstva za ponovnim osnivanjem društva u Njemačkoj suprotan je slobodi poslovnog </w:t>
      </w:r>
      <w:proofErr w:type="spellStart"/>
      <w:r>
        <w:t>nastana</w:t>
      </w:r>
      <w:proofErr w:type="spellEnd"/>
      <w:r>
        <w:t xml:space="preserve"> zajamčenoj UFEU</w:t>
      </w:r>
    </w:p>
    <w:p w:rsidR="00DE665D" w:rsidRDefault="00DE665D" w:rsidP="00DE665D">
      <w:r>
        <w:t>-opravdanja  Njemačke: nije diskriminatorno – primjenjuje se na sva društva, važni razlozi javnog interesa: pravna sigurnost, zaštita vjerovnika, zaštita malih dioničara, zaštita prava radnika, fiskalni razlozi</w:t>
      </w:r>
    </w:p>
    <w:p w:rsidR="00DE665D" w:rsidRDefault="00DE665D" w:rsidP="00DE665D">
      <w:r>
        <w:t>-ES: zahtjevi nisu razmjerni, ne opravdavaju ograničenja, zaobilaženje nacionalnih njemačkih propisa ne može opravdati postavljena ograničenja</w:t>
      </w:r>
    </w:p>
    <w:p w:rsidR="00DE665D" w:rsidRDefault="00DE665D" w:rsidP="00DE665D">
      <w:r>
        <w:t xml:space="preserve">-Zaključak:  primjena TSS dovodi do negiranja prava na poslovni </w:t>
      </w:r>
      <w:proofErr w:type="spellStart"/>
      <w:r>
        <w:t>nastan</w:t>
      </w:r>
      <w:proofErr w:type="spellEnd"/>
      <w:r>
        <w:t>, ako ne postoji priznavanje pravne osobnosti društva osnovanog temeljem nacionalnog prava druge DČ</w:t>
      </w:r>
    </w:p>
    <w:p w:rsidR="00DE665D" w:rsidRDefault="00DE665D" w:rsidP="00DE665D">
      <w:r>
        <w:t xml:space="preserve">-pitanje stvarnog sjedišta ostaje u domeni pravila međunarodnog privatnog prava, TSS nije u suprotnosti sa slobodom poslovnog </w:t>
      </w:r>
      <w:proofErr w:type="spellStart"/>
      <w:r>
        <w:t>nastana</w:t>
      </w:r>
      <w:proofErr w:type="spellEnd"/>
    </w:p>
    <w:p w:rsidR="00DE665D" w:rsidRDefault="00DE665D" w:rsidP="00DE665D">
      <w:pPr>
        <w:pStyle w:val="Heading1"/>
      </w:pPr>
      <w:proofErr w:type="spellStart"/>
      <w:r>
        <w:t>Inspire</w:t>
      </w:r>
      <w:proofErr w:type="spellEnd"/>
      <w:r>
        <w:t xml:space="preserve"> </w:t>
      </w:r>
      <w:proofErr w:type="spellStart"/>
      <w:r>
        <w:t>Art</w:t>
      </w:r>
      <w:proofErr w:type="spellEnd"/>
    </w:p>
    <w:p w:rsidR="00DE665D" w:rsidRDefault="00DE665D" w:rsidP="00DE665D">
      <w:r>
        <w:t>-odredbama nizozemskog zakona o formalno stranim društvima iz 1997. god propisivali su se uvjeti koje moraju ispuniti formalno strana društva koja u Nizozemskoj osnivaju podružnice</w:t>
      </w:r>
    </w:p>
    <w:p w:rsidR="00DE665D" w:rsidRDefault="00DE665D" w:rsidP="00DE665D">
      <w:r>
        <w:t xml:space="preserve">-osnivanje podružnica uređeno </w:t>
      </w:r>
      <w:proofErr w:type="spellStart"/>
      <w:r>
        <w:t>Jedaanaestom</w:t>
      </w:r>
      <w:proofErr w:type="spellEnd"/>
      <w:r>
        <w:t xml:space="preserve"> Direktivom Vijeća , nizozemski propis nameće dodatne uvjete za koje ES treba odlučiti jesu li u skladu s pravom na poslovni </w:t>
      </w:r>
      <w:proofErr w:type="spellStart"/>
      <w:r>
        <w:t>nastan</w:t>
      </w:r>
      <w:proofErr w:type="spellEnd"/>
    </w:p>
    <w:p w:rsidR="00DE665D" w:rsidRDefault="00DE665D" w:rsidP="00DE665D">
      <w:r>
        <w:t>-Nizozemska želi izbjeći mogućnost za osnivanje društva samo radi iskorištavanja najpovoljnijeg regulatornog sustava</w:t>
      </w:r>
    </w:p>
    <w:p w:rsidR="00DE665D" w:rsidRDefault="00DE665D" w:rsidP="00DE665D">
      <w:r>
        <w:t xml:space="preserve">-ES: učinak nizozemskih propisa je sprječavanje korištenja slobode poslovnog </w:t>
      </w:r>
      <w:proofErr w:type="spellStart"/>
      <w:r>
        <w:t>nastana</w:t>
      </w:r>
      <w:proofErr w:type="spellEnd"/>
      <w:r>
        <w:t xml:space="preserve"> jer se na podružnicu društva osnovanog u drugoj DČ, ako se poslovanje obavlja u Nizozemskoj primjenjuju pravila koja vrijede i za domaća d.o.o.</w:t>
      </w:r>
    </w:p>
    <w:p w:rsidR="00DE665D" w:rsidRDefault="00DE665D" w:rsidP="00DE665D">
      <w:r>
        <w:t>-Rješenje: Uzajamno priznavanje društava</w:t>
      </w:r>
    </w:p>
    <w:p w:rsidR="00DE665D" w:rsidRDefault="00DE665D" w:rsidP="00DE665D">
      <w:r>
        <w:lastRenderedPageBreak/>
        <w:t xml:space="preserve">-Opravdanje: zaštita vjerovnika, borba protiv zloupotrebe slobode poslovnog </w:t>
      </w:r>
      <w:proofErr w:type="spellStart"/>
      <w:r>
        <w:t>nastana</w:t>
      </w:r>
      <w:proofErr w:type="spellEnd"/>
      <w:r>
        <w:t>, osiguranje porezne inspekcije</w:t>
      </w:r>
    </w:p>
    <w:p w:rsidR="00DE665D" w:rsidRDefault="00DE665D" w:rsidP="00DE665D">
      <w:pPr>
        <w:pStyle w:val="Heading1"/>
      </w:pPr>
      <w:r>
        <w:t>SERVIC</w:t>
      </w:r>
    </w:p>
    <w:p w:rsidR="00DE665D" w:rsidRDefault="00DE665D" w:rsidP="00DE665D">
      <w:r>
        <w:t xml:space="preserve">-Njemački sud odbio je upis pripajanja u sudski registar njemačkih </w:t>
      </w:r>
      <w:proofErr w:type="spellStart"/>
      <w:r>
        <w:t>društvava</w:t>
      </w:r>
      <w:proofErr w:type="spellEnd"/>
      <w:r>
        <w:t xml:space="preserve"> luksemburškog društva jer je njemački propis predviđao samo mogućnost pripajanja društva sa </w:t>
      </w:r>
      <w:proofErr w:type="spellStart"/>
      <w:r>
        <w:t>sjedišem</w:t>
      </w:r>
      <w:proofErr w:type="spellEnd"/>
      <w:r>
        <w:t xml:space="preserve"> u Njemačkoj, ali ne i prekogranična pripajanja</w:t>
      </w:r>
    </w:p>
    <w:p w:rsidR="00DE665D" w:rsidRDefault="00DE665D" w:rsidP="00DE665D">
      <w:r>
        <w:t xml:space="preserve">-ES:pravo poslovnog </w:t>
      </w:r>
      <w:proofErr w:type="spellStart"/>
      <w:r>
        <w:t>nastana</w:t>
      </w:r>
      <w:proofErr w:type="spellEnd"/>
      <w:r>
        <w:t>, nacionalne mjere moraju biti primjerene i nužne, generalno odbijanje  upisa pripajanja u sudski registar društva koje ima sjedište izvan DČ u kojoj društvo ima sjedište predstavlja ograničenje SPN</w:t>
      </w:r>
    </w:p>
    <w:p w:rsidR="00DE665D" w:rsidRDefault="00DE665D" w:rsidP="00DE665D">
      <w:r>
        <w:t>-Usklađenje zakona na razini Unije ne može biti preduvjet za ostvarivanje prava SPN</w:t>
      </w:r>
    </w:p>
    <w:p w:rsidR="00DE665D" w:rsidRDefault="00DE665D" w:rsidP="00DE665D">
      <w:r>
        <w:t xml:space="preserve">-Dosad osim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Maila</w:t>
      </w:r>
      <w:proofErr w:type="spellEnd"/>
      <w:r>
        <w:t xml:space="preserve"> poticanje europskog prava, nacionalno pravo nisu prihvaćali</w:t>
      </w:r>
    </w:p>
    <w:p w:rsidR="00DE665D" w:rsidRDefault="00DE665D" w:rsidP="00DE665D">
      <w:pPr>
        <w:pStyle w:val="Heading1"/>
      </w:pPr>
      <w:r>
        <w:t>CARTESIO</w:t>
      </w:r>
    </w:p>
    <w:p w:rsidR="00DE665D" w:rsidRDefault="00DE665D" w:rsidP="00DE665D">
      <w:r>
        <w:t xml:space="preserve">-Mađarski </w:t>
      </w:r>
      <w:proofErr w:type="spellStart"/>
      <w:r>
        <w:t>Cartesio</w:t>
      </w:r>
      <w:proofErr w:type="spellEnd"/>
      <w:r>
        <w:t xml:space="preserve"> zatražio od mađarskog suda da registrira promjenu njegovog realnog sjedišta iz Mađarske u Italiju pod pretpostavkom da se na društvo i dalje primjenjuje mađarsko pravo</w:t>
      </w:r>
    </w:p>
    <w:p w:rsidR="00DE665D" w:rsidRDefault="00DE665D" w:rsidP="00DE665D">
      <w:r>
        <w:t>-Mađarsko pravo primjenjuje se na društva koja imaju sjedište u Mađarskoj pri čemu se sjedištem smatra mjesto gdje društvo ima središnje mjesto upravljanja</w:t>
      </w:r>
    </w:p>
    <w:p w:rsidR="00DE665D" w:rsidRDefault="00DE665D" w:rsidP="00DE665D">
      <w:r>
        <w:t>-Mađarsko pravo: prijenos mjesta iz kojeg se upravlja društvom u drugu DČ nije moguć</w:t>
      </w:r>
    </w:p>
    <w:p w:rsidR="00DE665D" w:rsidRDefault="00DE665D" w:rsidP="00DE665D">
      <w:r>
        <w:t>-ES:na temelju nacionalnog prava procjenjuje se mogućnost za društvo da ode iz države osnivanja</w:t>
      </w:r>
    </w:p>
    <w:p w:rsidR="00DE665D" w:rsidRDefault="00DE665D" w:rsidP="00DE665D">
      <w:r>
        <w:t xml:space="preserve">-2 različite norme:ulazak-pravilo o slobodi poslovnog </w:t>
      </w:r>
      <w:proofErr w:type="spellStart"/>
      <w:r>
        <w:t>nastana</w:t>
      </w:r>
      <w:proofErr w:type="spellEnd"/>
      <w:r>
        <w:t>, izlazak: nacionalno pravo</w:t>
      </w:r>
    </w:p>
    <w:p w:rsidR="00DE665D" w:rsidRDefault="00DE665D" w:rsidP="00DE665D">
      <w:r>
        <w:t xml:space="preserve">NO </w:t>
      </w:r>
      <w:proofErr w:type="spellStart"/>
      <w:r>
        <w:t>Meduro</w:t>
      </w:r>
      <w:proofErr w:type="spellEnd"/>
      <w:r>
        <w:t>- pravila o izlasku trebala bi biti podvrgnuta režimu Ugovora – nije prihvaćeno</w:t>
      </w:r>
    </w:p>
    <w:p w:rsidR="00DE665D" w:rsidRDefault="00DE665D" w:rsidP="00DE665D">
      <w:pPr>
        <w:pStyle w:val="Heading1"/>
      </w:pPr>
      <w:r>
        <w:t xml:space="preserve">VALE </w:t>
      </w:r>
    </w:p>
    <w:p w:rsidR="00DE665D" w:rsidRDefault="00DE665D" w:rsidP="00DE665D">
      <w:r>
        <w:t>-presuda 2012.</w:t>
      </w:r>
    </w:p>
    <w:p w:rsidR="00DE665D" w:rsidRDefault="00DE665D" w:rsidP="00DE665D">
      <w:r>
        <w:t>-najnoviji predmet, prethodno pitanje od strane Mađarske</w:t>
      </w:r>
    </w:p>
    <w:p w:rsidR="00DE665D" w:rsidRDefault="00DE665D" w:rsidP="00DE665D">
      <w:r>
        <w:t xml:space="preserve">-Izbrisali se iz registra u Italiji, htjeli se upisati u Mađarsku, Mađari nemaju mogućnost pravnog </w:t>
      </w:r>
      <w:proofErr w:type="spellStart"/>
      <w:r>
        <w:t>sljednika</w:t>
      </w:r>
      <w:proofErr w:type="spellEnd"/>
    </w:p>
    <w:p w:rsidR="00DE665D" w:rsidRDefault="00DE665D" w:rsidP="00DE665D">
      <w:r>
        <w:t>-ES: Mađarsko zakonodavstvo treba dopustiti takvom društvu da se preoblikuje u skladu s mađarskim pravom</w:t>
      </w:r>
    </w:p>
    <w:p w:rsidR="00DE665D" w:rsidRDefault="00DE665D" w:rsidP="00DE665D"/>
    <w:p w:rsidR="00DE665D" w:rsidRDefault="00DE665D" w:rsidP="00DE665D">
      <w:r>
        <w:t>RH- propisano ono što je napisano u UFEU</w:t>
      </w:r>
    </w:p>
    <w:sectPr w:rsidR="00DE665D" w:rsidSect="00020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0E45"/>
    <w:rsid w:val="000208E4"/>
    <w:rsid w:val="002B4B1E"/>
    <w:rsid w:val="00423949"/>
    <w:rsid w:val="004E5833"/>
    <w:rsid w:val="00CC0E45"/>
    <w:rsid w:val="00DE6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E45"/>
  </w:style>
  <w:style w:type="paragraph" w:styleId="Heading1">
    <w:name w:val="heading 1"/>
    <w:basedOn w:val="Normal"/>
    <w:next w:val="Normal"/>
    <w:link w:val="Heading1Char"/>
    <w:uiPriority w:val="9"/>
    <w:qFormat/>
    <w:rsid w:val="00CC0E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E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E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E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E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E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E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E4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E4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E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basedOn w:val="Normal"/>
    <w:uiPriority w:val="1"/>
    <w:qFormat/>
    <w:rsid w:val="00CC0E4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C0E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E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E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E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E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E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E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0E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E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E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0E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C0E45"/>
    <w:rPr>
      <w:b/>
      <w:bCs/>
    </w:rPr>
  </w:style>
  <w:style w:type="character" w:styleId="Emphasis">
    <w:name w:val="Emphasis"/>
    <w:basedOn w:val="DefaultParagraphFont"/>
    <w:uiPriority w:val="20"/>
    <w:qFormat/>
    <w:rsid w:val="00CC0E45"/>
    <w:rPr>
      <w:i/>
      <w:iCs/>
    </w:rPr>
  </w:style>
  <w:style w:type="paragraph" w:styleId="ListParagraph">
    <w:name w:val="List Paragraph"/>
    <w:basedOn w:val="Normal"/>
    <w:uiPriority w:val="34"/>
    <w:qFormat/>
    <w:rsid w:val="00CC0E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0E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0E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E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E4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C0E4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C0E4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C0E4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C0E4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C0E4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0E4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1788</Words>
  <Characters>10192</Characters>
  <Application>Microsoft Office Word</Application>
  <DocSecurity>0</DocSecurity>
  <Lines>84</Lines>
  <Paragraphs>23</Paragraphs>
  <ScaleCrop>false</ScaleCrop>
  <Company>Hewlett-Packard</Company>
  <LinksUpToDate>false</LinksUpToDate>
  <CharactersWithSpaces>11957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Petra</cp:lastModifiedBy>
  <cp:revision>2</cp:revision>
  <dcterms:created xsi:type="dcterms:W3CDTF">2013-02-13T22:04:00Z</dcterms:created>
  <dcterms:modified xsi:type="dcterms:W3CDTF">2013-02-13T22:04:00Z</dcterms:modified>
</cp:coreProperties>
</file>