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F0F" w:rsidRPr="00D53F0F" w:rsidRDefault="00D53F0F">
      <w:pPr>
        <w:rPr>
          <w:b/>
          <w:sz w:val="24"/>
          <w:szCs w:val="24"/>
          <w:u w:val="single"/>
        </w:rPr>
      </w:pPr>
      <w:r w:rsidRPr="00D53F0F">
        <w:rPr>
          <w:b/>
          <w:sz w:val="24"/>
          <w:szCs w:val="24"/>
          <w:u w:val="single"/>
        </w:rPr>
        <w:t>6. predavanje</w:t>
      </w:r>
    </w:p>
    <w:p w:rsidR="00D53F0F" w:rsidRDefault="00D53F0F">
      <w:pPr>
        <w:rPr>
          <w:b/>
        </w:rPr>
      </w:pPr>
    </w:p>
    <w:p w:rsidR="008C3FE2" w:rsidRPr="00B83473" w:rsidRDefault="00B83473">
      <w:pPr>
        <w:rPr>
          <w:b/>
        </w:rPr>
      </w:pPr>
      <w:r w:rsidRPr="00B83473">
        <w:rPr>
          <w:b/>
        </w:rPr>
        <w:t>Nadzor tržišta</w:t>
      </w:r>
    </w:p>
    <w:p w:rsidR="00B83473" w:rsidRDefault="00B83473" w:rsidP="00B83473">
      <w:pPr>
        <w:pStyle w:val="ListParagraph"/>
        <w:numPr>
          <w:ilvl w:val="0"/>
          <w:numId w:val="1"/>
        </w:numPr>
      </w:pPr>
      <w:r>
        <w:t>alat za primjenu direktiva Novog pristupa</w:t>
      </w:r>
    </w:p>
    <w:p w:rsidR="00B83473" w:rsidRDefault="00B83473" w:rsidP="00B83473">
      <w:pPr>
        <w:pStyle w:val="ListParagraph"/>
        <w:numPr>
          <w:ilvl w:val="0"/>
          <w:numId w:val="1"/>
        </w:numPr>
      </w:pPr>
      <w:r>
        <w:t>Cilj: osigurati usklađenost propisa primijenjenih direktiva na cjelokupnom jedinstvenom tržištu</w:t>
      </w:r>
    </w:p>
    <w:p w:rsidR="00B83473" w:rsidRDefault="00B83473" w:rsidP="00B83473">
      <w:pPr>
        <w:pStyle w:val="ListParagraph"/>
        <w:numPr>
          <w:ilvl w:val="0"/>
          <w:numId w:val="1"/>
        </w:numPr>
      </w:pPr>
      <w:r>
        <w:t>građani zaštićeni neovisno o porijeklu proizvoda</w:t>
      </w:r>
    </w:p>
    <w:p w:rsidR="00B83473" w:rsidRDefault="00B83473" w:rsidP="00B83473">
      <w:pPr>
        <w:pStyle w:val="ListParagraph"/>
        <w:numPr>
          <w:ilvl w:val="0"/>
          <w:numId w:val="1"/>
        </w:numPr>
      </w:pPr>
      <w:r w:rsidRPr="00B83473">
        <w:t>isključivanje nekorektne konkurencije</w:t>
      </w:r>
    </w:p>
    <w:p w:rsidR="00B83473" w:rsidRDefault="00B83473" w:rsidP="00B83473">
      <w:pPr>
        <w:pStyle w:val="ListParagraph"/>
        <w:numPr>
          <w:ilvl w:val="0"/>
          <w:numId w:val="1"/>
        </w:numPr>
      </w:pPr>
      <w:r>
        <w:t>Zemlje članice moraju imenovati ili ustanoviti tijela/institucije za nadzor tržišta</w:t>
      </w:r>
    </w:p>
    <w:p w:rsidR="00B83473" w:rsidRDefault="00B83473" w:rsidP="00B83473">
      <w:pPr>
        <w:pStyle w:val="ListParagraph"/>
        <w:numPr>
          <w:ilvl w:val="0"/>
          <w:numId w:val="1"/>
        </w:numPr>
      </w:pPr>
      <w:r>
        <w:t>potrebni izvori za aktivnosti nadzora, osiguranje tehničkih znanja i profesionalnog integriteta osoblja, kao i sudjelovanje na neovisni i nediskriminirajući način, ovisno o principu proporcionalnost</w:t>
      </w:r>
    </w:p>
    <w:p w:rsidR="00B83473" w:rsidRDefault="00B83473" w:rsidP="00B83473">
      <w:r>
        <w:t>Prijavljena tijela – isključena</w:t>
      </w:r>
    </w:p>
    <w:p w:rsidR="00B83473" w:rsidRDefault="00B83473" w:rsidP="00B83473">
      <w:r>
        <w:t>---- sukob interesa</w:t>
      </w:r>
    </w:p>
    <w:p w:rsidR="00B83473" w:rsidRDefault="00B83473" w:rsidP="00B83473"/>
    <w:p w:rsidR="00B83473" w:rsidRDefault="00B83473" w:rsidP="00B83473">
      <w:pPr>
        <w:pStyle w:val="ListParagraph"/>
        <w:numPr>
          <w:ilvl w:val="0"/>
          <w:numId w:val="2"/>
        </w:numPr>
      </w:pPr>
      <w:r>
        <w:t>dva osnovna stupnja-nacionalne nadzorne institucije</w:t>
      </w:r>
    </w:p>
    <w:p w:rsidR="00B83473" w:rsidRDefault="00B83473" w:rsidP="00B83473">
      <w:pPr>
        <w:pStyle w:val="ListParagraph"/>
        <w:numPr>
          <w:ilvl w:val="0"/>
          <w:numId w:val="2"/>
        </w:numPr>
      </w:pPr>
      <w:r>
        <w:t>nadziru usklađenost proizvoda na tržištu s propisima primijenjenog nacionalnog zakonodavstva koje prenosi direktive Novog pristupa</w:t>
      </w:r>
    </w:p>
    <w:p w:rsidR="00B83473" w:rsidRDefault="00B83473" w:rsidP="00B83473">
      <w:pPr>
        <w:pStyle w:val="ListParagraph"/>
        <w:numPr>
          <w:ilvl w:val="0"/>
          <w:numId w:val="2"/>
        </w:numPr>
      </w:pPr>
      <w:r>
        <w:t>poduzimaju odgovarajuće postupke za zasnivanje usklađenosti</w:t>
      </w:r>
    </w:p>
    <w:p w:rsidR="00B83473" w:rsidRDefault="00B83473" w:rsidP="00B83473">
      <w:pPr>
        <w:pStyle w:val="ListParagraph"/>
        <w:numPr>
          <w:ilvl w:val="0"/>
          <w:numId w:val="2"/>
        </w:numPr>
      </w:pPr>
      <w:r>
        <w:t>učinkovita primjena obično zahtijeva rad institucija za nadzor tržišta u suradnji s proizvođačima</w:t>
      </w:r>
    </w:p>
    <w:p w:rsidR="00B83473" w:rsidRDefault="00B83473" w:rsidP="00B83473">
      <w:pPr>
        <w:pStyle w:val="ListParagraph"/>
        <w:numPr>
          <w:ilvl w:val="0"/>
          <w:numId w:val="2"/>
        </w:numPr>
      </w:pPr>
      <w:r>
        <w:t>sprječavanje ulaska na tržište proizvodima koji nisu usklađeni</w:t>
      </w:r>
    </w:p>
    <w:p w:rsidR="00B83473" w:rsidRDefault="00B83473" w:rsidP="00B83473">
      <w:pPr>
        <w:pStyle w:val="ListParagraph"/>
        <w:numPr>
          <w:ilvl w:val="0"/>
          <w:numId w:val="2"/>
        </w:numPr>
      </w:pPr>
      <w:r>
        <w:t>provjera sukladnosti s postojećim direktivama</w:t>
      </w:r>
    </w:p>
    <w:p w:rsidR="00B83473" w:rsidRDefault="00B83473" w:rsidP="00B83473">
      <w:pPr>
        <w:pStyle w:val="ListParagraph"/>
        <w:numPr>
          <w:ilvl w:val="0"/>
          <w:numId w:val="2"/>
        </w:numPr>
      </w:pPr>
      <w:r>
        <w:t xml:space="preserve">EZ odluka o sukladnosti i i tehnička dokumentacija osiguravaju instituciji nadzora </w:t>
      </w:r>
    </w:p>
    <w:p w:rsidR="00B83473" w:rsidRDefault="00B83473" w:rsidP="00B83473">
      <w:pPr>
        <w:pStyle w:val="ListParagraph"/>
      </w:pPr>
      <w:r>
        <w:t>dovoljno informacija o proizvodu</w:t>
      </w:r>
    </w:p>
    <w:p w:rsidR="00B83473" w:rsidRDefault="00B83473" w:rsidP="00B83473">
      <w:pPr>
        <w:pStyle w:val="ListParagraph"/>
      </w:pPr>
    </w:p>
    <w:p w:rsidR="00B83473" w:rsidRDefault="00B83473" w:rsidP="00B83473">
      <w:pPr>
        <w:pStyle w:val="ListParagraph"/>
        <w:rPr>
          <w:i/>
          <w:u w:val="single"/>
        </w:rPr>
      </w:pPr>
      <w:r w:rsidRPr="00B83473">
        <w:rPr>
          <w:i/>
          <w:u w:val="single"/>
        </w:rPr>
        <w:t>Mjere ispravka</w:t>
      </w:r>
      <w:r>
        <w:rPr>
          <w:i/>
          <w:u w:val="single"/>
        </w:rPr>
        <w:t>:</w:t>
      </w:r>
    </w:p>
    <w:p w:rsidR="00B83473" w:rsidRDefault="00B83473" w:rsidP="00B83473">
      <w:pPr>
        <w:pStyle w:val="ListParagraph"/>
        <w:ind w:left="1440"/>
      </w:pPr>
    </w:p>
    <w:p w:rsidR="00B83473" w:rsidRDefault="00B83473" w:rsidP="00B83473">
      <w:pPr>
        <w:pStyle w:val="ListParagraph"/>
        <w:numPr>
          <w:ilvl w:val="0"/>
          <w:numId w:val="4"/>
        </w:numPr>
      </w:pPr>
      <w:r>
        <w:t>prijava nesukladnosti stranki</w:t>
      </w:r>
    </w:p>
    <w:p w:rsidR="00B83473" w:rsidRDefault="00B83473" w:rsidP="00B83473">
      <w:pPr>
        <w:pStyle w:val="ListParagraph"/>
        <w:numPr>
          <w:ilvl w:val="0"/>
          <w:numId w:val="4"/>
        </w:numPr>
      </w:pPr>
      <w:r>
        <w:t>mogućnost konzultacije i ispravka</w:t>
      </w:r>
    </w:p>
    <w:p w:rsidR="00B83473" w:rsidRDefault="00B83473" w:rsidP="00B83473">
      <w:pPr>
        <w:pStyle w:val="ListParagraph"/>
        <w:numPr>
          <w:ilvl w:val="0"/>
          <w:numId w:val="5"/>
        </w:numPr>
      </w:pPr>
      <w:r>
        <w:t>vrlo žurni postupak!</w:t>
      </w:r>
    </w:p>
    <w:p w:rsidR="00B83473" w:rsidRDefault="00B83473" w:rsidP="00B83473">
      <w:pPr>
        <w:pStyle w:val="ListParagraph"/>
        <w:numPr>
          <w:ilvl w:val="0"/>
          <w:numId w:val="5"/>
        </w:numPr>
      </w:pPr>
      <w:r>
        <w:t>ovise o razini nesukladnosti od slučaja do slučaja</w:t>
      </w:r>
    </w:p>
    <w:p w:rsidR="00B83473" w:rsidRDefault="00B83473" w:rsidP="00B83473">
      <w:pPr>
        <w:pStyle w:val="ListParagraph"/>
        <w:numPr>
          <w:ilvl w:val="0"/>
          <w:numId w:val="5"/>
        </w:numPr>
      </w:pPr>
      <w:r w:rsidRPr="00B83473">
        <w:t>u suglasju s principom proporcionalnosti</w:t>
      </w:r>
      <w:r>
        <w:t xml:space="preserve"> </w:t>
      </w:r>
      <w:r w:rsidRPr="00B83473">
        <w:t>dvije faze</w:t>
      </w:r>
      <w:r>
        <w:t xml:space="preserve"> :</w:t>
      </w:r>
    </w:p>
    <w:p w:rsidR="00B83473" w:rsidRDefault="00B83473" w:rsidP="00B83473">
      <w:pPr>
        <w:pStyle w:val="ListParagraph"/>
        <w:numPr>
          <w:ilvl w:val="0"/>
          <w:numId w:val="6"/>
        </w:numPr>
      </w:pPr>
      <w:r>
        <w:t>prva faza: proizvođač, odnosno autorizirani predstavnik treba izmijeniti proizvod tako da postane sukladan propisima</w:t>
      </w:r>
    </w:p>
    <w:p w:rsidR="00B83473" w:rsidRDefault="00B83473" w:rsidP="00B83473">
      <w:pPr>
        <w:pStyle w:val="ListParagraph"/>
        <w:numPr>
          <w:ilvl w:val="0"/>
          <w:numId w:val="6"/>
        </w:numPr>
      </w:pPr>
      <w:r>
        <w:t>druga faza: proizvod se ograničava ili zabranjuje na tržištu, te u konačnici povlači s tržišta</w:t>
      </w:r>
    </w:p>
    <w:p w:rsidR="00B83473" w:rsidRDefault="00B83473" w:rsidP="00CB4C51">
      <w:pPr>
        <w:pStyle w:val="ListParagraph"/>
        <w:ind w:left="0"/>
      </w:pPr>
    </w:p>
    <w:p w:rsidR="00CB4C51" w:rsidRDefault="00CB4C51" w:rsidP="00CB4C51">
      <w:pPr>
        <w:pStyle w:val="ListParagraph"/>
        <w:numPr>
          <w:ilvl w:val="0"/>
          <w:numId w:val="7"/>
        </w:numPr>
      </w:pPr>
      <w:r>
        <w:t>institucije nadzora djeluju u suradnji s proizvođačima i dobavljačima</w:t>
      </w:r>
    </w:p>
    <w:p w:rsidR="00CB4C51" w:rsidRDefault="00CB4C51" w:rsidP="00CB4C51">
      <w:pPr>
        <w:pStyle w:val="ListParagraph"/>
        <w:numPr>
          <w:ilvl w:val="0"/>
          <w:numId w:val="7"/>
        </w:numPr>
      </w:pPr>
      <w:r>
        <w:lastRenderedPageBreak/>
        <w:t xml:space="preserve"> poduzimaju odgovarajuće mjere protiv osobe koja je postavila CE oznaku na nesukladni proizvod i protiv odgovornih za nesukladnost proizvoda</w:t>
      </w:r>
    </w:p>
    <w:p w:rsidR="00CB4C51" w:rsidRDefault="00CB4C51" w:rsidP="00CB4C51">
      <w:pPr>
        <w:pStyle w:val="ListParagraph"/>
        <w:numPr>
          <w:ilvl w:val="0"/>
          <w:numId w:val="7"/>
        </w:numPr>
      </w:pPr>
      <w:r>
        <w:t>institucije nadzora djeluju u suradnji s proizvođačima i dobavljačima</w:t>
      </w:r>
    </w:p>
    <w:p w:rsidR="00CB4C51" w:rsidRDefault="00CB4C51" w:rsidP="00CB4C51">
      <w:pPr>
        <w:pStyle w:val="ListParagraph"/>
        <w:numPr>
          <w:ilvl w:val="0"/>
          <w:numId w:val="7"/>
        </w:numPr>
      </w:pPr>
      <w:r>
        <w:t xml:space="preserve"> imaju mogućnost upozoravanja osoba u eventualnoj opasnosti, uništavanja štetnih </w:t>
      </w:r>
    </w:p>
    <w:p w:rsidR="00CB4C51" w:rsidRDefault="00CB4C51" w:rsidP="00CB4C51">
      <w:pPr>
        <w:pStyle w:val="ListParagraph"/>
      </w:pPr>
      <w:r>
        <w:t>proizvoda i zabrane uporabe ovih proizvoda, te zahtijevanja povlačenja njihovih certifikata</w:t>
      </w:r>
    </w:p>
    <w:p w:rsidR="00CB4C51" w:rsidRDefault="00CB4C51" w:rsidP="00CB4C51">
      <w:pPr>
        <w:pStyle w:val="ListParagraph"/>
      </w:pPr>
    </w:p>
    <w:p w:rsidR="00CB4C51" w:rsidRDefault="00CB4C51" w:rsidP="00CB4C51">
      <w:pPr>
        <w:pStyle w:val="ListParagraph"/>
      </w:pPr>
    </w:p>
    <w:p w:rsidR="00CB4C51" w:rsidRDefault="00CB4C51" w:rsidP="00CB4C51">
      <w:pPr>
        <w:pStyle w:val="ListParagraph"/>
      </w:pPr>
    </w:p>
    <w:p w:rsidR="00CB4C51" w:rsidRDefault="00CB4C51" w:rsidP="00CB4C51">
      <w:pPr>
        <w:pStyle w:val="ListParagraph"/>
        <w:rPr>
          <w:b/>
        </w:rPr>
      </w:pPr>
      <w:r w:rsidRPr="00CB4C51">
        <w:rPr>
          <w:b/>
        </w:rPr>
        <w:t>Uloga normi na tržištu</w:t>
      </w:r>
    </w:p>
    <w:p w:rsidR="00CB4C51" w:rsidRDefault="00CB4C51" w:rsidP="00CB4C51">
      <w:pPr>
        <w:pStyle w:val="ListParagraph"/>
      </w:pPr>
    </w:p>
    <w:p w:rsidR="00CB4C51" w:rsidRDefault="00CB4C51" w:rsidP="00CB4C51">
      <w:pPr>
        <w:pStyle w:val="ListParagraph"/>
        <w:numPr>
          <w:ilvl w:val="0"/>
          <w:numId w:val="8"/>
        </w:numPr>
      </w:pPr>
      <w:r>
        <w:t>veliki broj europskih normi koje nisu zahtijevane od strane EK</w:t>
      </w:r>
    </w:p>
    <w:p w:rsidR="00CB4C51" w:rsidRDefault="00CB4C51" w:rsidP="00CB4C51">
      <w:pPr>
        <w:pStyle w:val="ListParagraph"/>
        <w:numPr>
          <w:ilvl w:val="0"/>
          <w:numId w:val="8"/>
        </w:numPr>
      </w:pPr>
      <w:r>
        <w:t>nisu potrebni glede temeljnih zahtjeva</w:t>
      </w:r>
    </w:p>
    <w:p w:rsidR="00CB4C51" w:rsidRDefault="00CB4C51" w:rsidP="00CB4C51">
      <w:pPr>
        <w:pStyle w:val="ListParagraph"/>
        <w:numPr>
          <w:ilvl w:val="0"/>
          <w:numId w:val="8"/>
        </w:numPr>
      </w:pPr>
      <w:r>
        <w:t>-trajnost, izgled, razine kakvoće...</w:t>
      </w:r>
    </w:p>
    <w:p w:rsidR="00CB4C51" w:rsidRDefault="00CB4C51" w:rsidP="00CB4C51">
      <w:pPr>
        <w:pStyle w:val="ListParagraph"/>
        <w:numPr>
          <w:ilvl w:val="0"/>
          <w:numId w:val="8"/>
        </w:numPr>
      </w:pPr>
      <w:r>
        <w:t>-postupci ispitivanja ili vodiči mjerenja</w:t>
      </w:r>
    </w:p>
    <w:p w:rsidR="00CB4C51" w:rsidRDefault="00CB4C51" w:rsidP="00CB4C51">
      <w:pPr>
        <w:pStyle w:val="ListParagraph"/>
        <w:numPr>
          <w:ilvl w:val="0"/>
          <w:numId w:val="8"/>
        </w:numPr>
      </w:pPr>
      <w:r>
        <w:t>uporaba neusaglašene norme : osiguravajuća društva, financijske institucije, tijela za procjenu sukladnosti,  neprihvaćanje proizvoda na tržištu</w:t>
      </w:r>
    </w:p>
    <w:p w:rsidR="00CB4C51" w:rsidRDefault="00CB4C51" w:rsidP="00CB4C51">
      <w:pPr>
        <w:pStyle w:val="ListParagraph"/>
        <w:numPr>
          <w:ilvl w:val="0"/>
          <w:numId w:val="8"/>
        </w:numPr>
      </w:pPr>
      <w:r>
        <w:t>specifično uz postojanje usaglašene europske norme u istom području</w:t>
      </w:r>
    </w:p>
    <w:p w:rsidR="00CB4C51" w:rsidRDefault="00CB4C51" w:rsidP="00CB4C51">
      <w:pPr>
        <w:pStyle w:val="ListParagraph"/>
        <w:ind w:left="1440"/>
      </w:pPr>
    </w:p>
    <w:p w:rsidR="00CB4C51" w:rsidRDefault="00CB4C51" w:rsidP="00CB4C51">
      <w:pPr>
        <w:pStyle w:val="ListParagraph"/>
        <w:ind w:left="1440"/>
      </w:pPr>
    </w:p>
    <w:p w:rsidR="00CB4C51" w:rsidRDefault="00CB4C51" w:rsidP="00CB4C51">
      <w:pPr>
        <w:pStyle w:val="ListParagraph"/>
        <w:ind w:left="850"/>
        <w:rPr>
          <w:b/>
        </w:rPr>
      </w:pPr>
      <w:r w:rsidRPr="00CB4C51">
        <w:rPr>
          <w:b/>
        </w:rPr>
        <w:t>Europske nacionalne norme</w:t>
      </w:r>
    </w:p>
    <w:p w:rsidR="00CB4C51" w:rsidRDefault="00CB4C51" w:rsidP="00CB4C51">
      <w:pPr>
        <w:pStyle w:val="ListParagraph"/>
        <w:ind w:left="850"/>
        <w:rPr>
          <w:b/>
        </w:rPr>
      </w:pPr>
    </w:p>
    <w:p w:rsidR="00CB4C51" w:rsidRDefault="00CB4C51" w:rsidP="00CB4C51">
      <w:pPr>
        <w:pStyle w:val="ListParagraph"/>
        <w:numPr>
          <w:ilvl w:val="0"/>
          <w:numId w:val="9"/>
        </w:numPr>
      </w:pPr>
      <w:r w:rsidRPr="00CB4C51">
        <w:t>EN ne postoji</w:t>
      </w:r>
    </w:p>
    <w:p w:rsidR="00CB4C51" w:rsidRDefault="00CB4C51" w:rsidP="00CB4C51">
      <w:pPr>
        <w:pStyle w:val="ListParagraph"/>
        <w:numPr>
          <w:ilvl w:val="0"/>
          <w:numId w:val="9"/>
        </w:numPr>
      </w:pPr>
      <w:r>
        <w:t>- nacionalna norma postoji i relevantna</w:t>
      </w:r>
    </w:p>
    <w:p w:rsidR="00CB4C51" w:rsidRDefault="00CB4C51" w:rsidP="00CB4C51">
      <w:pPr>
        <w:pStyle w:val="ListParagraph"/>
        <w:numPr>
          <w:ilvl w:val="0"/>
          <w:numId w:val="9"/>
        </w:numPr>
      </w:pPr>
      <w:r>
        <w:t>- nema potvrde o usklađenosti, koju treba dokazati</w:t>
      </w:r>
    </w:p>
    <w:p w:rsidR="00CB4C51" w:rsidRDefault="00CB4C51" w:rsidP="00CB4C51">
      <w:pPr>
        <w:pStyle w:val="ListParagraph"/>
        <w:ind w:left="1570"/>
      </w:pPr>
    </w:p>
    <w:p w:rsidR="00CB4C51" w:rsidRDefault="00CB4C51" w:rsidP="00CB4C51">
      <w:pPr>
        <w:pStyle w:val="ListParagraph"/>
        <w:numPr>
          <w:ilvl w:val="0"/>
          <w:numId w:val="9"/>
        </w:numPr>
      </w:pPr>
      <w:r w:rsidRPr="00CB4C51">
        <w:t>međusobno priznavanje</w:t>
      </w:r>
    </w:p>
    <w:p w:rsidR="00CB4C51" w:rsidRDefault="00CB4C51" w:rsidP="00CB4C51">
      <w:pPr>
        <w:pStyle w:val="ListParagraph"/>
      </w:pPr>
    </w:p>
    <w:p w:rsidR="00CB4C51" w:rsidRDefault="00CB4C51" w:rsidP="00CB4C51">
      <w:pPr>
        <w:pStyle w:val="ListParagraph"/>
        <w:numPr>
          <w:ilvl w:val="0"/>
          <w:numId w:val="9"/>
        </w:numPr>
        <w:spacing w:line="240" w:lineRule="auto"/>
      </w:pPr>
      <w:r>
        <w:t>neke nacionalne norme postoje kao nacionalna tehnička regulacija</w:t>
      </w:r>
    </w:p>
    <w:p w:rsidR="00CB4C51" w:rsidRDefault="00CB4C51" w:rsidP="00CB4C51">
      <w:pPr>
        <w:pStyle w:val="ListParagraph"/>
        <w:numPr>
          <w:ilvl w:val="0"/>
          <w:numId w:val="9"/>
        </w:numPr>
      </w:pPr>
      <w:r>
        <w:t xml:space="preserve">Europski sud pravde (European Courte of Justice) – Zemlje članice moraju ih priznati </w:t>
      </w:r>
    </w:p>
    <w:p w:rsidR="00CB4C51" w:rsidRDefault="00CB4C51" w:rsidP="00CB4C51">
      <w:pPr>
        <w:pStyle w:val="ListParagraph"/>
      </w:pPr>
      <w:r>
        <w:t xml:space="preserve">                 – priznavanje u jednoj znači u svima</w:t>
      </w:r>
    </w:p>
    <w:p w:rsidR="00CB4C51" w:rsidRDefault="00CB4C51" w:rsidP="00CB4C51">
      <w:pPr>
        <w:pStyle w:val="ListParagraph"/>
      </w:pPr>
    </w:p>
    <w:p w:rsidR="00CB4C51" w:rsidRPr="00CB4C51" w:rsidRDefault="00CB4C51" w:rsidP="00CB4C51">
      <w:pPr>
        <w:pStyle w:val="ListParagraph"/>
        <w:rPr>
          <w:b/>
        </w:rPr>
      </w:pPr>
      <w:r w:rsidRPr="00CB4C51">
        <w:rPr>
          <w:b/>
        </w:rPr>
        <w:t>Normizacija u EU i SAD</w:t>
      </w:r>
    </w:p>
    <w:p w:rsidR="00CB4C51" w:rsidRDefault="00CB4C51" w:rsidP="00CB4C51">
      <w:pPr>
        <w:pStyle w:val="ListParagraph"/>
        <w:spacing w:line="240" w:lineRule="auto"/>
        <w:ind w:left="1570"/>
      </w:pPr>
    </w:p>
    <w:p w:rsidR="00CB4C51" w:rsidRDefault="00CB4C51" w:rsidP="00CB4C51">
      <w:pPr>
        <w:pStyle w:val="ListParagraph"/>
        <w:spacing w:line="240" w:lineRule="auto"/>
        <w:ind w:left="1570"/>
      </w:pPr>
    </w:p>
    <w:p w:rsidR="00CB4C51" w:rsidRDefault="00CB4C51" w:rsidP="00CB4C51">
      <w:pPr>
        <w:pStyle w:val="ListParagraph"/>
        <w:numPr>
          <w:ilvl w:val="0"/>
          <w:numId w:val="12"/>
        </w:numPr>
        <w:spacing w:line="240" w:lineRule="auto"/>
      </w:pPr>
      <w:r>
        <w:t>norma ima veliki učinak na regulaciju trgovine, koji uvjeti dopuštaju proizvod na tržištu</w:t>
      </w:r>
    </w:p>
    <w:p w:rsidR="00CB4C51" w:rsidRDefault="00CB4C51" w:rsidP="00CB4C51">
      <w:pPr>
        <w:pStyle w:val="ListParagraph"/>
        <w:numPr>
          <w:ilvl w:val="0"/>
          <w:numId w:val="12"/>
        </w:numPr>
        <w:spacing w:line="240" w:lineRule="auto"/>
      </w:pPr>
      <w:r w:rsidRPr="00CB4C51">
        <w:t>stoga, proizvođač sudjeluje!</w:t>
      </w:r>
    </w:p>
    <w:p w:rsidR="00CB4C51" w:rsidRDefault="00CB4C51" w:rsidP="00CB4C51">
      <w:pPr>
        <w:pStyle w:val="ListParagraph"/>
        <w:spacing w:line="240" w:lineRule="auto"/>
        <w:ind w:left="2290"/>
      </w:pPr>
    </w:p>
    <w:p w:rsidR="00CB4C51" w:rsidRDefault="00CB4C51" w:rsidP="00CB4C51">
      <w:pPr>
        <w:pStyle w:val="ListParagraph"/>
        <w:spacing w:line="240" w:lineRule="auto"/>
        <w:ind w:left="850"/>
        <w:rPr>
          <w:b/>
        </w:rPr>
      </w:pPr>
      <w:r w:rsidRPr="00421D06">
        <w:rPr>
          <w:b/>
        </w:rPr>
        <w:t xml:space="preserve">EU i SAD </w:t>
      </w:r>
      <w:r w:rsidR="00421D06">
        <w:rPr>
          <w:b/>
        </w:rPr>
        <w:t>–</w:t>
      </w:r>
      <w:r w:rsidRPr="00421D06">
        <w:rPr>
          <w:b/>
        </w:rPr>
        <w:t xml:space="preserve"> sličnosti</w:t>
      </w:r>
    </w:p>
    <w:p w:rsidR="00421D06" w:rsidRDefault="00421D06" w:rsidP="00CB4C51">
      <w:pPr>
        <w:pStyle w:val="ListParagraph"/>
        <w:spacing w:line="240" w:lineRule="auto"/>
        <w:ind w:left="850"/>
        <w:rPr>
          <w:b/>
        </w:rPr>
      </w:pPr>
    </w:p>
    <w:p w:rsidR="00421D06" w:rsidRPr="00421D06" w:rsidRDefault="00421D06" w:rsidP="00421D06">
      <w:pPr>
        <w:pStyle w:val="ListParagraph"/>
        <w:numPr>
          <w:ilvl w:val="0"/>
          <w:numId w:val="13"/>
        </w:numPr>
        <w:spacing w:line="240" w:lineRule="auto"/>
      </w:pPr>
      <w:r w:rsidRPr="00421D06">
        <w:t>povjerenstva, odbori i konsenzus... istotehnički stručnjaci ... dobrovoljno</w:t>
      </w:r>
    </w:p>
    <w:p w:rsidR="00421D06" w:rsidRPr="00421D06" w:rsidRDefault="00421D06" w:rsidP="00421D06">
      <w:pPr>
        <w:pStyle w:val="ListParagraph"/>
        <w:numPr>
          <w:ilvl w:val="0"/>
          <w:numId w:val="13"/>
        </w:numPr>
        <w:spacing w:line="240" w:lineRule="auto"/>
      </w:pPr>
      <w:r w:rsidRPr="00421D06">
        <w:t>proizvođači, korisnici, vlada i akademska zajednica</w:t>
      </w:r>
    </w:p>
    <w:p w:rsidR="00421D06" w:rsidRPr="00421D06" w:rsidRDefault="00421D06" w:rsidP="00421D06">
      <w:pPr>
        <w:pStyle w:val="ListParagraph"/>
        <w:numPr>
          <w:ilvl w:val="0"/>
          <w:numId w:val="13"/>
        </w:numPr>
        <w:spacing w:line="240" w:lineRule="auto"/>
      </w:pPr>
      <w:r w:rsidRPr="00421D06">
        <w:t>stvaranje pododbora, pisanje norme, komentar, glasovanje, konsenzus</w:t>
      </w:r>
    </w:p>
    <w:p w:rsidR="00421D06" w:rsidRDefault="00421D06" w:rsidP="00421D06">
      <w:pPr>
        <w:pStyle w:val="ListParagraph"/>
        <w:numPr>
          <w:ilvl w:val="0"/>
          <w:numId w:val="13"/>
        </w:numPr>
        <w:spacing w:line="240" w:lineRule="auto"/>
      </w:pPr>
      <w:r w:rsidRPr="00421D06">
        <w:t>normizacijske organizacije osiguravaju upravljanje, administrativnu i logističku podršku</w:t>
      </w:r>
    </w:p>
    <w:p w:rsidR="00421D06" w:rsidRDefault="00421D06" w:rsidP="00421D06">
      <w:pPr>
        <w:pStyle w:val="ListParagraph"/>
        <w:spacing w:line="240" w:lineRule="auto"/>
        <w:ind w:left="1570"/>
      </w:pPr>
    </w:p>
    <w:p w:rsidR="00421D06" w:rsidRDefault="00421D06" w:rsidP="00421D06">
      <w:pPr>
        <w:pStyle w:val="ListParagraph"/>
        <w:spacing w:line="240" w:lineRule="auto"/>
        <w:ind w:left="850"/>
      </w:pPr>
      <w:r w:rsidRPr="00421D06">
        <w:rPr>
          <w:b/>
        </w:rPr>
        <w:lastRenderedPageBreak/>
        <w:t xml:space="preserve">EU i SAD </w:t>
      </w:r>
      <w:r>
        <w:rPr>
          <w:b/>
        </w:rPr>
        <w:t>–</w:t>
      </w:r>
      <w:r w:rsidRPr="00421D06">
        <w:rPr>
          <w:b/>
        </w:rPr>
        <w:t xml:space="preserve"> razlike</w:t>
      </w:r>
    </w:p>
    <w:p w:rsidR="00421D06" w:rsidRDefault="00421D06" w:rsidP="00421D06">
      <w:pPr>
        <w:pStyle w:val="ListParagraph"/>
        <w:spacing w:line="240" w:lineRule="auto"/>
        <w:ind w:left="850"/>
      </w:pPr>
    </w:p>
    <w:p w:rsidR="000940F0" w:rsidRDefault="000940F0" w:rsidP="000940F0">
      <w:pPr>
        <w:pStyle w:val="ListParagraph"/>
        <w:numPr>
          <w:ilvl w:val="0"/>
          <w:numId w:val="14"/>
        </w:numPr>
        <w:spacing w:line="240" w:lineRule="auto"/>
      </w:pPr>
      <w:r>
        <w:t xml:space="preserve">organizacija: </w:t>
      </w:r>
    </w:p>
    <w:p w:rsidR="000940F0" w:rsidRDefault="000940F0" w:rsidP="000940F0">
      <w:pPr>
        <w:pStyle w:val="ListParagraph"/>
        <w:spacing w:line="240" w:lineRule="auto"/>
        <w:ind w:left="1570"/>
      </w:pPr>
      <w:r>
        <w:t xml:space="preserve">       SAD nema strukturu središnjica nacionalnih normizacijskih tijela i regionalnih          tijela (Europska normizacijska tijela)</w:t>
      </w:r>
    </w:p>
    <w:p w:rsidR="000940F0" w:rsidRDefault="000940F0" w:rsidP="000940F0">
      <w:pPr>
        <w:pStyle w:val="ListParagraph"/>
        <w:spacing w:line="240" w:lineRule="auto"/>
        <w:ind w:left="1570"/>
      </w:pPr>
      <w:r>
        <w:t>nacije EU – sektor SAD</w:t>
      </w:r>
    </w:p>
    <w:p w:rsidR="000940F0" w:rsidRDefault="000940F0" w:rsidP="000940F0">
      <w:pPr>
        <w:pStyle w:val="ListParagraph"/>
        <w:numPr>
          <w:ilvl w:val="0"/>
          <w:numId w:val="14"/>
        </w:numPr>
        <w:spacing w:line="240" w:lineRule="auto"/>
      </w:pPr>
      <w:r w:rsidRPr="000940F0">
        <w:t>članstvo</w:t>
      </w:r>
      <w:r>
        <w:t>:</w:t>
      </w:r>
    </w:p>
    <w:p w:rsidR="000940F0" w:rsidRDefault="000940F0" w:rsidP="000940F0">
      <w:pPr>
        <w:pStyle w:val="ListParagraph"/>
        <w:spacing w:line="240" w:lineRule="auto"/>
        <w:ind w:left="1570"/>
      </w:pPr>
      <w:r>
        <w:t xml:space="preserve">      EU – Europljanin ili poslovni interes (proizvodnja) u Europi</w:t>
      </w:r>
    </w:p>
    <w:p w:rsidR="000940F0" w:rsidRDefault="000940F0" w:rsidP="000940F0">
      <w:pPr>
        <w:pStyle w:val="ListParagraph"/>
        <w:spacing w:line="240" w:lineRule="auto"/>
        <w:ind w:left="1570"/>
      </w:pPr>
      <w:r>
        <w:t>SAD – neograničeno</w:t>
      </w:r>
    </w:p>
    <w:p w:rsidR="000940F0" w:rsidRDefault="000940F0" w:rsidP="000940F0">
      <w:pPr>
        <w:pStyle w:val="ListParagraph"/>
        <w:spacing w:line="240" w:lineRule="auto"/>
        <w:ind w:left="1570"/>
      </w:pPr>
      <w:r>
        <w:t>sektor i globalni interes – međunarodno sudjelovanje</w:t>
      </w:r>
    </w:p>
    <w:p w:rsidR="000940F0" w:rsidRDefault="000940F0" w:rsidP="000940F0">
      <w:pPr>
        <w:pStyle w:val="ListParagraph"/>
        <w:spacing w:line="240" w:lineRule="auto"/>
        <w:ind w:left="1570"/>
      </w:pPr>
    </w:p>
    <w:p w:rsidR="000940F0" w:rsidRDefault="000940F0" w:rsidP="000940F0">
      <w:pPr>
        <w:pStyle w:val="ListParagraph"/>
        <w:spacing w:line="240" w:lineRule="auto"/>
        <w:ind w:left="850"/>
      </w:pPr>
      <w:r w:rsidRPr="000940F0">
        <w:rPr>
          <w:b/>
        </w:rPr>
        <w:t xml:space="preserve">EU i SAD </w:t>
      </w:r>
      <w:r>
        <w:rPr>
          <w:b/>
        </w:rPr>
        <w:t>–</w:t>
      </w:r>
      <w:r w:rsidRPr="000940F0">
        <w:rPr>
          <w:b/>
        </w:rPr>
        <w:t xml:space="preserve"> odnosi</w:t>
      </w:r>
    </w:p>
    <w:p w:rsidR="000940F0" w:rsidRDefault="000940F0" w:rsidP="000940F0">
      <w:pPr>
        <w:pStyle w:val="ListParagraph"/>
        <w:spacing w:line="240" w:lineRule="auto"/>
        <w:ind w:left="850"/>
      </w:pPr>
    </w:p>
    <w:p w:rsidR="000940F0" w:rsidRDefault="000940F0" w:rsidP="000940F0">
      <w:pPr>
        <w:pStyle w:val="ListParagraph"/>
        <w:numPr>
          <w:ilvl w:val="0"/>
          <w:numId w:val="14"/>
        </w:numPr>
        <w:spacing w:line="240" w:lineRule="auto"/>
      </w:pPr>
      <w:r>
        <w:t>American National Standards Institute, ANSI, SAD</w:t>
      </w:r>
    </w:p>
    <w:p w:rsidR="000940F0" w:rsidRDefault="000940F0" w:rsidP="000940F0">
      <w:pPr>
        <w:pStyle w:val="ListParagraph"/>
        <w:numPr>
          <w:ilvl w:val="0"/>
          <w:numId w:val="14"/>
        </w:numPr>
        <w:spacing w:line="240" w:lineRule="auto"/>
      </w:pPr>
      <w:r>
        <w:t>International Organization for Standardization, ISO – Geneve  - most prema CEN</w:t>
      </w:r>
    </w:p>
    <w:p w:rsidR="000940F0" w:rsidRDefault="000940F0" w:rsidP="000940F0">
      <w:pPr>
        <w:pStyle w:val="ListParagraph"/>
        <w:numPr>
          <w:ilvl w:val="0"/>
          <w:numId w:val="14"/>
        </w:numPr>
        <w:spacing w:line="240" w:lineRule="auto"/>
      </w:pPr>
      <w:r>
        <w:t>American National Standards Institute, ANSI, SAD</w:t>
      </w:r>
    </w:p>
    <w:p w:rsidR="000940F0" w:rsidRDefault="000940F0" w:rsidP="000940F0">
      <w:pPr>
        <w:pStyle w:val="ListParagraph"/>
        <w:numPr>
          <w:ilvl w:val="0"/>
          <w:numId w:val="14"/>
        </w:numPr>
        <w:spacing w:line="240" w:lineRule="auto"/>
      </w:pPr>
      <w:r>
        <w:t>United States National Committee, USNC International Electrotechnical Commission, IEC – Geneve – most prema CENELEC</w:t>
      </w:r>
    </w:p>
    <w:p w:rsidR="000940F0" w:rsidRDefault="000940F0" w:rsidP="000940F0">
      <w:pPr>
        <w:pStyle w:val="ListParagraph"/>
        <w:numPr>
          <w:ilvl w:val="0"/>
          <w:numId w:val="14"/>
        </w:numPr>
        <w:spacing w:line="240" w:lineRule="auto"/>
      </w:pPr>
      <w:r>
        <w:t>ANSI - ISO</w:t>
      </w:r>
    </w:p>
    <w:p w:rsidR="000940F0" w:rsidRDefault="000940F0" w:rsidP="000940F0">
      <w:pPr>
        <w:pStyle w:val="ListParagraph"/>
        <w:numPr>
          <w:ilvl w:val="0"/>
          <w:numId w:val="14"/>
        </w:numPr>
        <w:spacing w:line="240" w:lineRule="auto"/>
      </w:pPr>
      <w:r>
        <w:t>USNC – IEC</w:t>
      </w:r>
    </w:p>
    <w:p w:rsidR="000940F0" w:rsidRDefault="000940F0" w:rsidP="000940F0">
      <w:pPr>
        <w:pStyle w:val="ListParagraph"/>
        <w:spacing w:line="240" w:lineRule="auto"/>
        <w:ind w:left="1570"/>
      </w:pPr>
      <w:r>
        <w:t xml:space="preserve">    tehnički odbori – stručnjaci iz pojedinih </w:t>
      </w:r>
    </w:p>
    <w:p w:rsidR="000940F0" w:rsidRDefault="000940F0" w:rsidP="000940F0">
      <w:pPr>
        <w:pStyle w:val="ListParagraph"/>
        <w:spacing w:line="240" w:lineRule="auto"/>
        <w:ind w:left="1570"/>
      </w:pPr>
      <w:r>
        <w:t>zemalja se sastaju sa SAD stručnjacima</w:t>
      </w:r>
    </w:p>
    <w:p w:rsidR="000940F0" w:rsidRDefault="000940F0" w:rsidP="000940F0">
      <w:pPr>
        <w:pStyle w:val="ListParagraph"/>
        <w:spacing w:line="240" w:lineRule="auto"/>
        <w:ind w:left="1570"/>
      </w:pPr>
    </w:p>
    <w:p w:rsidR="000940F0" w:rsidRDefault="000940F0" w:rsidP="000940F0">
      <w:pPr>
        <w:pStyle w:val="ListParagraph"/>
        <w:numPr>
          <w:ilvl w:val="0"/>
          <w:numId w:val="15"/>
        </w:numPr>
        <w:spacing w:line="240" w:lineRule="auto"/>
      </w:pPr>
      <w:r>
        <w:t>sporazum o tehničkoj suradnji CEN i ISO (Bečki sporazum)</w:t>
      </w:r>
    </w:p>
    <w:p w:rsidR="000940F0" w:rsidRDefault="000940F0" w:rsidP="000940F0">
      <w:pPr>
        <w:pStyle w:val="ListParagraph"/>
        <w:numPr>
          <w:ilvl w:val="0"/>
          <w:numId w:val="15"/>
        </w:numPr>
        <w:spacing w:line="240" w:lineRule="auto"/>
      </w:pPr>
      <w:r>
        <w:t>CENELEC i IEC (Drezdenski sporazum)</w:t>
      </w:r>
    </w:p>
    <w:p w:rsidR="000940F0" w:rsidRDefault="000940F0" w:rsidP="000940F0">
      <w:pPr>
        <w:pStyle w:val="ListParagraph"/>
        <w:numPr>
          <w:ilvl w:val="0"/>
          <w:numId w:val="15"/>
        </w:numPr>
        <w:spacing w:line="240" w:lineRule="auto"/>
      </w:pPr>
      <w:r>
        <w:t>SAD partneri s interesom komentiraju nacrte CEN i CENELEC</w:t>
      </w:r>
    </w:p>
    <w:p w:rsidR="000940F0" w:rsidRDefault="000940F0" w:rsidP="000940F0">
      <w:pPr>
        <w:pStyle w:val="ListParagraph"/>
        <w:spacing w:line="240" w:lineRule="auto"/>
        <w:ind w:left="2137"/>
      </w:pPr>
    </w:p>
    <w:p w:rsidR="000940F0" w:rsidRDefault="000940F0" w:rsidP="000940F0">
      <w:pPr>
        <w:pStyle w:val="ListParagraph"/>
        <w:spacing w:line="240" w:lineRule="auto"/>
        <w:ind w:left="2137"/>
      </w:pPr>
    </w:p>
    <w:p w:rsidR="000940F0" w:rsidRDefault="000940F0" w:rsidP="000940F0">
      <w:pPr>
        <w:pStyle w:val="ListParagraph"/>
        <w:spacing w:line="240" w:lineRule="auto"/>
        <w:ind w:left="0"/>
        <w:rPr>
          <w:b/>
          <w:sz w:val="28"/>
          <w:szCs w:val="28"/>
        </w:rPr>
      </w:pPr>
      <w:r w:rsidRPr="000940F0">
        <w:rPr>
          <w:b/>
          <w:sz w:val="28"/>
          <w:szCs w:val="28"/>
        </w:rPr>
        <w:t xml:space="preserve">Normizacijske organizacije </w:t>
      </w:r>
      <w:r w:rsidRPr="000940F0">
        <w:rPr>
          <w:b/>
          <w:sz w:val="28"/>
          <w:szCs w:val="28"/>
        </w:rPr>
        <w:cr/>
      </w:r>
    </w:p>
    <w:p w:rsidR="000940F0" w:rsidRDefault="000940F0" w:rsidP="000940F0">
      <w:pPr>
        <w:pStyle w:val="ListParagraph"/>
        <w:numPr>
          <w:ilvl w:val="0"/>
          <w:numId w:val="16"/>
        </w:numPr>
        <w:spacing w:line="240" w:lineRule="auto"/>
      </w:pPr>
      <w:r>
        <w:t>normizacijsko tijelo</w:t>
      </w:r>
    </w:p>
    <w:p w:rsidR="000940F0" w:rsidRDefault="000940F0" w:rsidP="000940F0">
      <w:pPr>
        <w:pStyle w:val="ListParagraph"/>
        <w:numPr>
          <w:ilvl w:val="0"/>
          <w:numId w:val="16"/>
        </w:numPr>
        <w:spacing w:line="240" w:lineRule="auto"/>
      </w:pPr>
      <w:r>
        <w:t>normizacijska razvojna organizacija</w:t>
      </w:r>
    </w:p>
    <w:p w:rsidR="000940F0" w:rsidRDefault="000940F0" w:rsidP="000940F0">
      <w:pPr>
        <w:pStyle w:val="ListParagraph"/>
        <w:numPr>
          <w:ilvl w:val="0"/>
          <w:numId w:val="16"/>
        </w:numPr>
        <w:spacing w:line="240" w:lineRule="auto"/>
      </w:pPr>
      <w:r>
        <w:t>temeljna aktivnost je razvoj, koordinacija, javni proglas, pregled i ispravak, poboljšanje, ponovno izdavanje, tumačenje i održavanje norme</w:t>
      </w:r>
    </w:p>
    <w:p w:rsidR="000940F0" w:rsidRDefault="000940F0" w:rsidP="000940F0">
      <w:pPr>
        <w:pStyle w:val="ListParagraph"/>
        <w:numPr>
          <w:ilvl w:val="0"/>
          <w:numId w:val="16"/>
        </w:numPr>
        <w:spacing w:line="240" w:lineRule="auto"/>
      </w:pPr>
      <w:r>
        <w:t>ustanovljene od strane međunarodne zajednice na najvišoj razini</w:t>
      </w:r>
    </w:p>
    <w:p w:rsidR="000940F0" w:rsidRDefault="000940F0" w:rsidP="000940F0">
      <w:pPr>
        <w:pStyle w:val="ListParagraph"/>
        <w:numPr>
          <w:ilvl w:val="0"/>
          <w:numId w:val="16"/>
        </w:numPr>
        <w:spacing w:line="240" w:lineRule="auto"/>
      </w:pPr>
      <w:r>
        <w:t>nenamjerno dobile naziv radi “de facto”, najčešće industrijske norme (HP...)</w:t>
      </w:r>
    </w:p>
    <w:p w:rsidR="000940F0" w:rsidRDefault="000940F0" w:rsidP="000940F0">
      <w:pPr>
        <w:pStyle w:val="ListParagraph"/>
        <w:numPr>
          <w:ilvl w:val="0"/>
          <w:numId w:val="16"/>
        </w:numPr>
        <w:spacing w:line="240" w:lineRule="auto"/>
      </w:pPr>
      <w:r>
        <w:t>klasifikacija po ulozi, položaju i području utjecaja na lokalnoj, nacionalnoj, regionalnoj i globalnoj razini</w:t>
      </w:r>
    </w:p>
    <w:p w:rsidR="000940F0" w:rsidRDefault="000940F0" w:rsidP="000940F0">
      <w:pPr>
        <w:pStyle w:val="ListParagraph"/>
        <w:spacing w:line="240" w:lineRule="auto"/>
        <w:ind w:left="1440"/>
      </w:pPr>
    </w:p>
    <w:p w:rsidR="000940F0" w:rsidRDefault="000940F0" w:rsidP="000940F0">
      <w:pPr>
        <w:pStyle w:val="ListParagraph"/>
        <w:numPr>
          <w:ilvl w:val="0"/>
          <w:numId w:val="17"/>
        </w:numPr>
        <w:spacing w:line="240" w:lineRule="auto"/>
      </w:pPr>
      <w:r w:rsidRPr="000940F0">
        <w:t>zemljopisna podjela</w:t>
      </w:r>
      <w:r>
        <w:t>:   međunarodna, regionalna i nacionalna normizacijska tijela</w:t>
      </w:r>
    </w:p>
    <w:p w:rsidR="000940F0" w:rsidRDefault="000940F0" w:rsidP="000940F0">
      <w:pPr>
        <w:pStyle w:val="ListParagraph"/>
        <w:spacing w:line="240" w:lineRule="auto"/>
        <w:ind w:left="2160"/>
      </w:pPr>
    </w:p>
    <w:p w:rsidR="000940F0" w:rsidRDefault="000940F0" w:rsidP="000940F0">
      <w:pPr>
        <w:pStyle w:val="ListParagraph"/>
        <w:numPr>
          <w:ilvl w:val="0"/>
          <w:numId w:val="17"/>
        </w:numPr>
        <w:spacing w:line="240" w:lineRule="auto"/>
      </w:pPr>
      <w:r w:rsidRPr="000940F0">
        <w:t>tehnologijska ili industrijska podjela</w:t>
      </w:r>
      <w:r>
        <w:t>: organizacije za razvoj normeorganizacije za ustanovljavanje norme</w:t>
      </w:r>
    </w:p>
    <w:p w:rsidR="000940F0" w:rsidRDefault="000940F0" w:rsidP="000940F0">
      <w:pPr>
        <w:pStyle w:val="ListParagraph"/>
        <w:spacing w:line="240" w:lineRule="auto"/>
        <w:ind w:left="2160"/>
      </w:pPr>
    </w:p>
    <w:p w:rsidR="000940F0" w:rsidRDefault="000940F0" w:rsidP="000940F0">
      <w:pPr>
        <w:pStyle w:val="ListParagraph"/>
        <w:numPr>
          <w:ilvl w:val="0"/>
          <w:numId w:val="17"/>
        </w:numPr>
        <w:spacing w:line="240" w:lineRule="auto"/>
      </w:pPr>
      <w:r w:rsidRPr="000940F0">
        <w:t>podjela prema utjecaju</w:t>
      </w:r>
      <w:r>
        <w:t>: vladine, kvazi-vladine i nevladine organizacije, neprofitne organizacije</w:t>
      </w:r>
    </w:p>
    <w:p w:rsidR="000940F0" w:rsidRDefault="000940F0" w:rsidP="000940F0">
      <w:pPr>
        <w:pStyle w:val="ListParagraph"/>
        <w:spacing w:line="240" w:lineRule="auto"/>
        <w:ind w:left="2160"/>
      </w:pPr>
    </w:p>
    <w:p w:rsidR="000940F0" w:rsidRDefault="000940F0" w:rsidP="000940F0">
      <w:pPr>
        <w:pStyle w:val="ListParagraph"/>
        <w:numPr>
          <w:ilvl w:val="0"/>
          <w:numId w:val="17"/>
        </w:numPr>
        <w:spacing w:line="240" w:lineRule="auto"/>
      </w:pPr>
      <w:r w:rsidRPr="000940F0">
        <w:t>prema mjestu</w:t>
      </w:r>
      <w:r>
        <w:t>:  rasprostranjene: de facto norme , ograničene: lokalna ili globalna zajednica, od strane Vlade</w:t>
      </w:r>
    </w:p>
    <w:p w:rsidR="000940F0" w:rsidRDefault="000940F0" w:rsidP="000940F0">
      <w:pPr>
        <w:pStyle w:val="ListParagraph"/>
        <w:spacing w:line="240" w:lineRule="auto"/>
        <w:ind w:left="2160"/>
      </w:pPr>
    </w:p>
    <w:p w:rsidR="00D53F0F" w:rsidRDefault="000940F0" w:rsidP="00D53F0F">
      <w:pPr>
        <w:pStyle w:val="ListParagraph"/>
        <w:numPr>
          <w:ilvl w:val="0"/>
          <w:numId w:val="17"/>
        </w:numPr>
        <w:spacing w:line="240" w:lineRule="auto"/>
      </w:pPr>
      <w:r w:rsidRPr="000940F0">
        <w:t>prema primjeni</w:t>
      </w:r>
      <w:r>
        <w:t>:</w:t>
      </w:r>
      <w:r w:rsidR="00D53F0F">
        <w:t xml:space="preserve">   </w:t>
      </w:r>
      <w:r>
        <w:t xml:space="preserve"> </w:t>
      </w:r>
      <w:r w:rsidR="00D53F0F">
        <w:t xml:space="preserve">dobrovoljne: norme slobodnog izbora </w:t>
      </w:r>
    </w:p>
    <w:p w:rsidR="000940F0" w:rsidRDefault="00D53F0F" w:rsidP="00D53F0F">
      <w:pPr>
        <w:pStyle w:val="ListParagraph"/>
        <w:spacing w:line="240" w:lineRule="auto"/>
        <w:ind w:left="2160"/>
      </w:pPr>
      <w:r>
        <w:t xml:space="preserve">                                 obvezne: zakoni</w:t>
      </w:r>
    </w:p>
    <w:p w:rsidR="00D53F0F" w:rsidRPr="000940F0" w:rsidRDefault="00D53F0F" w:rsidP="00D53F0F">
      <w:pPr>
        <w:pStyle w:val="ListParagraph"/>
        <w:spacing w:line="240" w:lineRule="auto"/>
        <w:ind w:left="2160"/>
      </w:pPr>
    </w:p>
    <w:sectPr w:rsidR="00D53F0F" w:rsidRPr="000940F0" w:rsidSect="00B834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7432" w:rsidRDefault="00187432" w:rsidP="00B83473">
      <w:pPr>
        <w:spacing w:after="0" w:line="240" w:lineRule="auto"/>
      </w:pPr>
      <w:r>
        <w:separator/>
      </w:r>
    </w:p>
  </w:endnote>
  <w:endnote w:type="continuationSeparator" w:id="0">
    <w:p w:rsidR="00187432" w:rsidRDefault="00187432" w:rsidP="00B83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7432" w:rsidRDefault="00187432" w:rsidP="00B83473">
      <w:pPr>
        <w:spacing w:after="0" w:line="240" w:lineRule="auto"/>
      </w:pPr>
      <w:r>
        <w:separator/>
      </w:r>
    </w:p>
  </w:footnote>
  <w:footnote w:type="continuationSeparator" w:id="0">
    <w:p w:rsidR="00187432" w:rsidRDefault="00187432" w:rsidP="00B834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A650B"/>
    <w:multiLevelType w:val="hybridMultilevel"/>
    <w:tmpl w:val="2812C83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7464ED"/>
    <w:multiLevelType w:val="hybridMultilevel"/>
    <w:tmpl w:val="8B32A600"/>
    <w:lvl w:ilvl="0" w:tplc="041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76F111F"/>
    <w:multiLevelType w:val="hybridMultilevel"/>
    <w:tmpl w:val="F628FCFA"/>
    <w:lvl w:ilvl="0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2ECB6A1E"/>
    <w:multiLevelType w:val="hybridMultilevel"/>
    <w:tmpl w:val="8B94117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554F38"/>
    <w:multiLevelType w:val="hybridMultilevel"/>
    <w:tmpl w:val="9BD48652"/>
    <w:lvl w:ilvl="0" w:tplc="041A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5">
    <w:nsid w:val="34A02DB6"/>
    <w:multiLevelType w:val="hybridMultilevel"/>
    <w:tmpl w:val="BDB6711C"/>
    <w:lvl w:ilvl="0" w:tplc="041A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6">
    <w:nsid w:val="34CF23E8"/>
    <w:multiLevelType w:val="hybridMultilevel"/>
    <w:tmpl w:val="0ED0C57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8E6C30"/>
    <w:multiLevelType w:val="hybridMultilevel"/>
    <w:tmpl w:val="64326088"/>
    <w:lvl w:ilvl="0" w:tplc="041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C780885"/>
    <w:multiLevelType w:val="hybridMultilevel"/>
    <w:tmpl w:val="06A2CBEA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8773562"/>
    <w:multiLevelType w:val="hybridMultilevel"/>
    <w:tmpl w:val="ABB249C4"/>
    <w:lvl w:ilvl="0" w:tplc="041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6455E59"/>
    <w:multiLevelType w:val="hybridMultilevel"/>
    <w:tmpl w:val="701AF104"/>
    <w:lvl w:ilvl="0" w:tplc="041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1">
    <w:nsid w:val="5D997218"/>
    <w:multiLevelType w:val="hybridMultilevel"/>
    <w:tmpl w:val="C158F2D2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1913BB7"/>
    <w:multiLevelType w:val="hybridMultilevel"/>
    <w:tmpl w:val="15D86B64"/>
    <w:lvl w:ilvl="0" w:tplc="041A000F">
      <w:start w:val="1"/>
      <w:numFmt w:val="decimal"/>
      <w:lvlText w:val="%1."/>
      <w:lvlJc w:val="left"/>
      <w:pPr>
        <w:ind w:left="3120" w:hanging="360"/>
      </w:pPr>
    </w:lvl>
    <w:lvl w:ilvl="1" w:tplc="041A0019" w:tentative="1">
      <w:start w:val="1"/>
      <w:numFmt w:val="lowerLetter"/>
      <w:lvlText w:val="%2."/>
      <w:lvlJc w:val="left"/>
      <w:pPr>
        <w:ind w:left="3840" w:hanging="360"/>
      </w:pPr>
    </w:lvl>
    <w:lvl w:ilvl="2" w:tplc="041A001B" w:tentative="1">
      <w:start w:val="1"/>
      <w:numFmt w:val="lowerRoman"/>
      <w:lvlText w:val="%3."/>
      <w:lvlJc w:val="right"/>
      <w:pPr>
        <w:ind w:left="4560" w:hanging="180"/>
      </w:pPr>
    </w:lvl>
    <w:lvl w:ilvl="3" w:tplc="041A000F" w:tentative="1">
      <w:start w:val="1"/>
      <w:numFmt w:val="decimal"/>
      <w:lvlText w:val="%4."/>
      <w:lvlJc w:val="left"/>
      <w:pPr>
        <w:ind w:left="5280" w:hanging="360"/>
      </w:pPr>
    </w:lvl>
    <w:lvl w:ilvl="4" w:tplc="041A0019" w:tentative="1">
      <w:start w:val="1"/>
      <w:numFmt w:val="lowerLetter"/>
      <w:lvlText w:val="%5."/>
      <w:lvlJc w:val="left"/>
      <w:pPr>
        <w:ind w:left="6000" w:hanging="360"/>
      </w:pPr>
    </w:lvl>
    <w:lvl w:ilvl="5" w:tplc="041A001B" w:tentative="1">
      <w:start w:val="1"/>
      <w:numFmt w:val="lowerRoman"/>
      <w:lvlText w:val="%6."/>
      <w:lvlJc w:val="right"/>
      <w:pPr>
        <w:ind w:left="6720" w:hanging="180"/>
      </w:pPr>
    </w:lvl>
    <w:lvl w:ilvl="6" w:tplc="041A000F" w:tentative="1">
      <w:start w:val="1"/>
      <w:numFmt w:val="decimal"/>
      <w:lvlText w:val="%7."/>
      <w:lvlJc w:val="left"/>
      <w:pPr>
        <w:ind w:left="7440" w:hanging="360"/>
      </w:pPr>
    </w:lvl>
    <w:lvl w:ilvl="7" w:tplc="041A0019" w:tentative="1">
      <w:start w:val="1"/>
      <w:numFmt w:val="lowerLetter"/>
      <w:lvlText w:val="%8."/>
      <w:lvlJc w:val="left"/>
      <w:pPr>
        <w:ind w:left="8160" w:hanging="360"/>
      </w:pPr>
    </w:lvl>
    <w:lvl w:ilvl="8" w:tplc="041A001B" w:tentative="1">
      <w:start w:val="1"/>
      <w:numFmt w:val="lowerRoman"/>
      <w:lvlText w:val="%9."/>
      <w:lvlJc w:val="right"/>
      <w:pPr>
        <w:ind w:left="8880" w:hanging="180"/>
      </w:pPr>
    </w:lvl>
  </w:abstractNum>
  <w:abstractNum w:abstractNumId="13">
    <w:nsid w:val="66EF275F"/>
    <w:multiLevelType w:val="hybridMultilevel"/>
    <w:tmpl w:val="3050E446"/>
    <w:lvl w:ilvl="0" w:tplc="041A0001">
      <w:start w:val="1"/>
      <w:numFmt w:val="bullet"/>
      <w:lvlText w:val=""/>
      <w:lvlJc w:val="left"/>
      <w:pPr>
        <w:ind w:left="229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301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73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45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17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89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61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33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8050" w:hanging="360"/>
      </w:pPr>
      <w:rPr>
        <w:rFonts w:ascii="Wingdings" w:hAnsi="Wingdings" w:hint="default"/>
      </w:rPr>
    </w:lvl>
  </w:abstractNum>
  <w:abstractNum w:abstractNumId="14">
    <w:nsid w:val="6B403DE5"/>
    <w:multiLevelType w:val="hybridMultilevel"/>
    <w:tmpl w:val="5E567056"/>
    <w:lvl w:ilvl="0" w:tplc="041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71AF2640"/>
    <w:multiLevelType w:val="hybridMultilevel"/>
    <w:tmpl w:val="62527082"/>
    <w:lvl w:ilvl="0" w:tplc="041A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6">
    <w:nsid w:val="788277A9"/>
    <w:multiLevelType w:val="hybridMultilevel"/>
    <w:tmpl w:val="E42AD59C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D020358"/>
    <w:multiLevelType w:val="hybridMultilevel"/>
    <w:tmpl w:val="98BABC36"/>
    <w:lvl w:ilvl="0" w:tplc="041A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1"/>
  </w:num>
  <w:num w:numId="5">
    <w:abstractNumId w:val="14"/>
  </w:num>
  <w:num w:numId="6">
    <w:abstractNumId w:val="12"/>
  </w:num>
  <w:num w:numId="7">
    <w:abstractNumId w:val="0"/>
  </w:num>
  <w:num w:numId="8">
    <w:abstractNumId w:val="16"/>
  </w:num>
  <w:num w:numId="9">
    <w:abstractNumId w:val="5"/>
  </w:num>
  <w:num w:numId="10">
    <w:abstractNumId w:val="11"/>
  </w:num>
  <w:num w:numId="11">
    <w:abstractNumId w:val="15"/>
  </w:num>
  <w:num w:numId="12">
    <w:abstractNumId w:val="13"/>
  </w:num>
  <w:num w:numId="13">
    <w:abstractNumId w:val="4"/>
  </w:num>
  <w:num w:numId="14">
    <w:abstractNumId w:val="17"/>
  </w:num>
  <w:num w:numId="15">
    <w:abstractNumId w:val="10"/>
  </w:num>
  <w:num w:numId="16">
    <w:abstractNumId w:val="9"/>
  </w:num>
  <w:num w:numId="17">
    <w:abstractNumId w:val="7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3473"/>
    <w:rsid w:val="000940F0"/>
    <w:rsid w:val="00187432"/>
    <w:rsid w:val="00421D06"/>
    <w:rsid w:val="008C3FE2"/>
    <w:rsid w:val="00B83473"/>
    <w:rsid w:val="00CB4C51"/>
    <w:rsid w:val="00D53F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F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4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834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3473"/>
  </w:style>
  <w:style w:type="paragraph" w:styleId="Footer">
    <w:name w:val="footer"/>
    <w:basedOn w:val="Normal"/>
    <w:link w:val="FooterChar"/>
    <w:uiPriority w:val="99"/>
    <w:semiHidden/>
    <w:unhideWhenUsed/>
    <w:rsid w:val="00B834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34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2F95FF-823C-4C61-859F-2A428DE9C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771</Words>
  <Characters>4398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2</cp:revision>
  <dcterms:created xsi:type="dcterms:W3CDTF">2011-05-08T17:33:00Z</dcterms:created>
  <dcterms:modified xsi:type="dcterms:W3CDTF">2011-05-08T18:05:00Z</dcterms:modified>
</cp:coreProperties>
</file>