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D0" w:rsidRDefault="002A791C">
      <w:pPr>
        <w:rPr>
          <w:b/>
        </w:rPr>
      </w:pPr>
      <w:r w:rsidRPr="002A791C">
        <w:rPr>
          <w:b/>
        </w:rPr>
        <w:t>Integrirani sustav normizacije</w:t>
      </w:r>
    </w:p>
    <w:p w:rsidR="002A791C" w:rsidRDefault="002A791C" w:rsidP="002A791C">
      <w:pPr>
        <w:pStyle w:val="ListParagraph"/>
        <w:numPr>
          <w:ilvl w:val="0"/>
          <w:numId w:val="1"/>
        </w:numPr>
      </w:pPr>
      <w:r>
        <w:t>CEN, European Committee for Standardization, Europski odbor za normizaciju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1"/>
        </w:numPr>
      </w:pPr>
      <w:r>
        <w:t>CENELEC, European Committee for Electrotechnical Standardization, Europski odbor za elektrotehničku normizaciju   -  elektrotehnika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1"/>
        </w:numPr>
      </w:pPr>
      <w:r>
        <w:t>ETSI, European Telecommunications Standards Institute, Europski telekomunikacijski normizacijski institut   -   telekomunikacije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ind w:left="0"/>
        <w:rPr>
          <w:b/>
        </w:rPr>
      </w:pPr>
      <w:r w:rsidRPr="002A791C">
        <w:rPr>
          <w:b/>
        </w:rPr>
        <w:t>CEN</w:t>
      </w:r>
    </w:p>
    <w:p w:rsidR="002A791C" w:rsidRDefault="002A791C" w:rsidP="002A791C">
      <w:pPr>
        <w:pStyle w:val="ListParagraph"/>
        <w:ind w:left="0"/>
        <w:rPr>
          <w:b/>
        </w:rPr>
      </w:pP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European Committee for Standardization  -  1961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 w:rsidRPr="002A791C">
        <w:t>neprofitna tehnička organizacija, Belgija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prema Direktivi 98/34/EC jedina priznata europska organizacija za planiranje, pisanje i usvajanje europskih normi u svim područjima gospodarske aktivnosti osim elektrotehnike (CENELEC) i telekomunikacija (ETSI)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31 nacionalni odbor (27EU, 3EFTA+HR)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19 pridruţenih članica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2 savjetnika (EU,EFTA)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Partnerska normizacijska tijela /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Partner Standardization Bodies, (PSB)/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CEN upravljačko središte, Brussels /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CEN Management Centre, CMC/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više od 60000 stručnjaka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više od 10000 europskih normi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800 mil EUR godišnje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80% troškova – industrija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1% BNP s normizacijom (DIN studija)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£2,5 milijardi za UK i 13% rasta radne učinkovitosti (BSI studija)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1918 tehničkih tijela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299 aktivnih CEN tehničkih odbora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26 aktivnih CEN radionica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57 CEN tehničkih odbora/pododbora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1411 CEN radnih grupa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13 CEN-CENELEC tehničkih odbora</w:t>
      </w:r>
    </w:p>
    <w:p w:rsidR="002A791C" w:rsidRDefault="002A791C" w:rsidP="002A791C">
      <w:pPr>
        <w:pStyle w:val="ListParagraph"/>
        <w:numPr>
          <w:ilvl w:val="0"/>
          <w:numId w:val="2"/>
        </w:numPr>
      </w:pPr>
      <w:r>
        <w:t>2 CEN-CENELEC radne grupe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rPr>
          <w:i/>
          <w:u w:val="single"/>
        </w:rPr>
      </w:pPr>
      <w:r w:rsidRPr="002A791C">
        <w:rPr>
          <w:i/>
          <w:u w:val="single"/>
        </w:rPr>
        <w:lastRenderedPageBreak/>
        <w:t>Sektori</w:t>
      </w:r>
      <w:r>
        <w:rPr>
          <w:i/>
          <w:u w:val="single"/>
        </w:rPr>
        <w:t xml:space="preserve">: 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-Zrak i svemir (kontrola zračnog prometa)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-Kemija (nafta, eksplozivi, pirotehnika)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-GraĎevina (materijali, oprema, energ. učink. zgrada)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-Potrošački proizvodi (igračke, namještaj)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-Energija (voda i plin, solarni sustavi, int. energ. mr.)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-Okoliš (kvaliteta vode i zraka, otpad, biogoriva)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-Hrana (analiza hrane, genetski modificirana)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-Zdravlje i sigurnost (profesionalna izloţenost)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-Zdravstvena skrb (medicinski ureĎaji, med. Inf.)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-HVAC – grijanje, hlaĎenje—plin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-ICT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-Inovacije-gospodarenje, IPR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-Strojevi-lift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-Materijali-metali i nemetali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-Mjerenja-voda, plin i toplina-mjerila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-Mehaničko inţenjerstvo-sigurnosne norme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-Nanotehnologije-nomenklatura, klasifikacija, metrologija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-Sigurnost i obrana (sigurnost graĎana, krizne situacije)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-Usluge (turizam, pošta, nekretnine)</w:t>
      </w:r>
    </w:p>
    <w:p w:rsidR="002A791C" w:rsidRDefault="002A791C" w:rsidP="002A791C">
      <w:pPr>
        <w:pStyle w:val="ListParagraph"/>
        <w:numPr>
          <w:ilvl w:val="0"/>
          <w:numId w:val="3"/>
        </w:numPr>
      </w:pPr>
      <w:r>
        <w:t>-Prijevoz i pakiranje (ţeljeznice, ceste, električna vozila)</w:t>
      </w:r>
    </w:p>
    <w:p w:rsidR="002A791C" w:rsidRDefault="002A791C" w:rsidP="002A791C">
      <w:pPr>
        <w:pStyle w:val="ListParagraph"/>
        <w:ind w:left="0"/>
      </w:pPr>
    </w:p>
    <w:p w:rsidR="002A791C" w:rsidRDefault="002A791C" w:rsidP="002A791C">
      <w:pPr>
        <w:pStyle w:val="ListParagraph"/>
        <w:numPr>
          <w:ilvl w:val="0"/>
          <w:numId w:val="4"/>
        </w:numPr>
      </w:pPr>
      <w:r>
        <w:t>norme</w:t>
      </w:r>
    </w:p>
    <w:p w:rsidR="002A791C" w:rsidRDefault="002A791C" w:rsidP="002A791C">
      <w:pPr>
        <w:pStyle w:val="ListParagraph"/>
      </w:pPr>
      <w:r>
        <w:t xml:space="preserve">  europska norma – EN</w:t>
      </w:r>
    </w:p>
    <w:p w:rsidR="002A791C" w:rsidRDefault="002A791C" w:rsidP="002A791C">
      <w:pPr>
        <w:pStyle w:val="ListParagraph"/>
        <w:numPr>
          <w:ilvl w:val="0"/>
          <w:numId w:val="4"/>
        </w:numPr>
      </w:pPr>
      <w:r w:rsidRPr="002A791C">
        <w:t>prednorme</w:t>
      </w:r>
    </w:p>
    <w:p w:rsidR="002A791C" w:rsidRDefault="002A791C" w:rsidP="002A791C">
      <w:pPr>
        <w:pStyle w:val="ListParagraph"/>
      </w:pPr>
      <w:r>
        <w:t xml:space="preserve">   tehnička specifikacija – TS</w:t>
      </w:r>
    </w:p>
    <w:p w:rsidR="002A791C" w:rsidRDefault="002A791C" w:rsidP="002A791C">
      <w:pPr>
        <w:pStyle w:val="ListParagraph"/>
      </w:pPr>
      <w:r>
        <w:t xml:space="preserve">   europska pred-norma – ENV</w:t>
      </w:r>
    </w:p>
    <w:p w:rsidR="002A791C" w:rsidRDefault="002A791C" w:rsidP="002A791C">
      <w:pPr>
        <w:pStyle w:val="ListParagraph"/>
        <w:numPr>
          <w:ilvl w:val="0"/>
          <w:numId w:val="4"/>
        </w:numPr>
      </w:pPr>
      <w:r w:rsidRPr="002A791C">
        <w:t>informativni dokumenti</w:t>
      </w:r>
    </w:p>
    <w:p w:rsidR="002A791C" w:rsidRDefault="002A791C" w:rsidP="002A791C">
      <w:pPr>
        <w:pStyle w:val="ListParagraph"/>
      </w:pPr>
      <w:r>
        <w:t xml:space="preserve">    tehničko izvješće – TR</w:t>
      </w:r>
    </w:p>
    <w:p w:rsidR="002A791C" w:rsidRDefault="002A791C" w:rsidP="002A791C">
      <w:pPr>
        <w:pStyle w:val="ListParagraph"/>
      </w:pPr>
      <w:r>
        <w:t xml:space="preserve">   CEN/CENELEC priručnik /guide/</w:t>
      </w:r>
    </w:p>
    <w:p w:rsidR="002A791C" w:rsidRDefault="002A791C" w:rsidP="002A791C">
      <w:pPr>
        <w:pStyle w:val="ListParagraph"/>
      </w:pPr>
    </w:p>
    <w:p w:rsidR="002A791C" w:rsidRDefault="002A791C" w:rsidP="002A791C">
      <w:pPr>
        <w:pStyle w:val="ListParagraph"/>
        <w:ind w:left="0"/>
        <w:rPr>
          <w:b/>
        </w:rPr>
      </w:pPr>
      <w:r w:rsidRPr="002A791C">
        <w:rPr>
          <w:b/>
        </w:rPr>
        <w:t>CWA</w:t>
      </w:r>
    </w:p>
    <w:p w:rsidR="002A791C" w:rsidRDefault="002A791C" w:rsidP="002A791C">
      <w:pPr>
        <w:pStyle w:val="ListParagraph"/>
        <w:ind w:left="0"/>
        <w:rPr>
          <w:b/>
        </w:rPr>
      </w:pPr>
    </w:p>
    <w:p w:rsidR="002A791C" w:rsidRDefault="002A791C" w:rsidP="002A791C">
      <w:pPr>
        <w:pStyle w:val="ListParagraph"/>
        <w:numPr>
          <w:ilvl w:val="0"/>
          <w:numId w:val="5"/>
        </w:numPr>
      </w:pPr>
      <w:r w:rsidRPr="002A791C">
        <w:t>sporazum s radionice, CEN Workshop Agreement</w:t>
      </w:r>
    </w:p>
    <w:p w:rsidR="002A791C" w:rsidRDefault="009B6E64" w:rsidP="009B6E64">
      <w:pPr>
        <w:pStyle w:val="ListParagraph"/>
        <w:numPr>
          <w:ilvl w:val="0"/>
          <w:numId w:val="5"/>
        </w:numPr>
      </w:pPr>
      <w:r>
        <w:t>otvoreni proces  - industrija i CEN članice</w:t>
      </w:r>
    </w:p>
    <w:p w:rsidR="009B6E64" w:rsidRDefault="009B6E64" w:rsidP="009B6E64">
      <w:pPr>
        <w:pStyle w:val="ListParagraph"/>
        <w:numPr>
          <w:ilvl w:val="0"/>
          <w:numId w:val="5"/>
        </w:numPr>
      </w:pPr>
      <w:r w:rsidRPr="009B6E64">
        <w:t>sličan proces licenciranja, bez specifične oznake</w:t>
      </w:r>
    </w:p>
    <w:p w:rsidR="009B6E64" w:rsidRDefault="009B6E64" w:rsidP="009B6E64">
      <w:pPr>
        <w:pStyle w:val="ListParagraph"/>
      </w:pPr>
    </w:p>
    <w:p w:rsidR="009B6E64" w:rsidRDefault="009B6E64" w:rsidP="009B6E64">
      <w:pPr>
        <w:pStyle w:val="ListParagraph"/>
        <w:ind w:left="0"/>
      </w:pPr>
      <w:r w:rsidRPr="009B6E64">
        <w:rPr>
          <w:b/>
        </w:rPr>
        <w:t>CEN</w:t>
      </w:r>
    </w:p>
    <w:p w:rsidR="009B6E64" w:rsidRDefault="009B6E64" w:rsidP="009B6E64">
      <w:pPr>
        <w:pStyle w:val="ListParagraph"/>
        <w:ind w:left="0"/>
      </w:pPr>
    </w:p>
    <w:p w:rsidR="009B6E64" w:rsidRDefault="009B6E64" w:rsidP="009B6E64">
      <w:pPr>
        <w:pStyle w:val="ListParagraph"/>
        <w:numPr>
          <w:ilvl w:val="0"/>
          <w:numId w:val="6"/>
        </w:numPr>
      </w:pPr>
      <w:r>
        <w:t>EN 443 Šljemovi za vatrogasce - povećanje zdravlja i sigurnosti na poslu</w:t>
      </w:r>
    </w:p>
    <w:p w:rsidR="009B6E64" w:rsidRDefault="009B6E64" w:rsidP="009B6E64">
      <w:pPr>
        <w:pStyle w:val="ListParagraph"/>
        <w:numPr>
          <w:ilvl w:val="0"/>
          <w:numId w:val="6"/>
        </w:numPr>
      </w:pPr>
      <w:r>
        <w:t>EN 71 Igračke - zaštita potrošača i smanjenje nesreća</w:t>
      </w:r>
    </w:p>
    <w:p w:rsidR="009B6E64" w:rsidRDefault="009B6E64" w:rsidP="009B6E64">
      <w:pPr>
        <w:pStyle w:val="ListParagraph"/>
        <w:numPr>
          <w:ilvl w:val="0"/>
          <w:numId w:val="6"/>
        </w:numPr>
      </w:pPr>
      <w:r>
        <w:t>EN 13850 Poštanske usluge - Novi pristup prema usluţnom sektoru</w:t>
      </w:r>
    </w:p>
    <w:p w:rsidR="009B6E64" w:rsidRDefault="009B6E64" w:rsidP="009B6E64">
      <w:pPr>
        <w:pStyle w:val="ListParagraph"/>
        <w:numPr>
          <w:ilvl w:val="0"/>
          <w:numId w:val="6"/>
        </w:numPr>
      </w:pPr>
      <w:r>
        <w:t>EN 81 i EN 115 za dizala - preuzete od mnogih neeuropskih drţava</w:t>
      </w:r>
    </w:p>
    <w:p w:rsidR="009B6E64" w:rsidRDefault="009B6E64" w:rsidP="009B6E64">
      <w:pPr>
        <w:pStyle w:val="ListParagraph"/>
        <w:ind w:left="0"/>
      </w:pPr>
      <w:r w:rsidRPr="009B6E64">
        <w:rPr>
          <w:b/>
        </w:rPr>
        <w:lastRenderedPageBreak/>
        <w:t>CEN, CENELEC i ETSI</w:t>
      </w:r>
    </w:p>
    <w:p w:rsidR="009B6E64" w:rsidRDefault="009B6E64" w:rsidP="009B6E64">
      <w:pPr>
        <w:pStyle w:val="ListParagraph"/>
        <w:ind w:left="0"/>
      </w:pPr>
    </w:p>
    <w:p w:rsidR="009B6E64" w:rsidRDefault="009B6E64" w:rsidP="009B6E64">
      <w:pPr>
        <w:pStyle w:val="ListParagraph"/>
        <w:numPr>
          <w:ilvl w:val="0"/>
          <w:numId w:val="7"/>
        </w:numPr>
      </w:pPr>
      <w:r w:rsidRPr="009B6E64">
        <w:t>suradnja s meĎunarodnim partnerima</w:t>
      </w:r>
    </w:p>
    <w:p w:rsidR="009B6E64" w:rsidRDefault="009B6E64" w:rsidP="009B6E64">
      <w:pPr>
        <w:pStyle w:val="ListParagraph"/>
      </w:pPr>
      <w:r>
        <w:t xml:space="preserve">  CEN i ISO: Bečki dogovor (Vienna Agreement)</w:t>
      </w:r>
    </w:p>
    <w:p w:rsidR="009B6E64" w:rsidRDefault="009B6E64" w:rsidP="009B6E64">
      <w:pPr>
        <w:pStyle w:val="ListParagraph"/>
      </w:pPr>
      <w:r>
        <w:t>CENELEC i IEC: Drezdenski dogovor</w:t>
      </w:r>
    </w:p>
    <w:p w:rsidR="009B6E64" w:rsidRDefault="009B6E64" w:rsidP="009B6E64">
      <w:pPr>
        <w:pStyle w:val="ListParagraph"/>
      </w:pPr>
      <w:r>
        <w:t>ETSI i ITU-T: MoU Telekomunikacijski sektor</w:t>
      </w:r>
    </w:p>
    <w:p w:rsidR="009B6E64" w:rsidRDefault="009B6E64" w:rsidP="009B6E64">
      <w:pPr>
        <w:pStyle w:val="ListParagraph"/>
      </w:pPr>
      <w:r>
        <w:t>ETSI i ITU-R: Dogovor o radiokomunikacijskom sektoru</w:t>
      </w:r>
    </w:p>
    <w:p w:rsidR="009B6E64" w:rsidRDefault="009B6E64" w:rsidP="009B6E64">
      <w:pPr>
        <w:pStyle w:val="ListParagraph"/>
      </w:pPr>
    </w:p>
    <w:p w:rsidR="009B6E64" w:rsidRDefault="009B6E64" w:rsidP="009B6E64">
      <w:pPr>
        <w:pStyle w:val="ListParagraph"/>
        <w:rPr>
          <w:i/>
          <w:u w:val="single"/>
        </w:rPr>
      </w:pPr>
      <w:r w:rsidRPr="009B6E64">
        <w:rPr>
          <w:i/>
          <w:u w:val="single"/>
        </w:rPr>
        <w:t>Bečki dogovor</w:t>
      </w:r>
    </w:p>
    <w:p w:rsidR="00091061" w:rsidRDefault="00091061" w:rsidP="009B6E64">
      <w:pPr>
        <w:pStyle w:val="ListParagraph"/>
        <w:rPr>
          <w:i/>
          <w:u w:val="single"/>
        </w:rPr>
      </w:pPr>
    </w:p>
    <w:p w:rsidR="00091061" w:rsidRDefault="00091061" w:rsidP="00091061">
      <w:pPr>
        <w:pStyle w:val="ListParagraph"/>
        <w:numPr>
          <w:ilvl w:val="0"/>
          <w:numId w:val="7"/>
        </w:numPr>
      </w:pPr>
      <w:r>
        <w:t>1991.g.</w:t>
      </w:r>
    </w:p>
    <w:p w:rsidR="00091061" w:rsidRDefault="00091061" w:rsidP="00091061">
      <w:pPr>
        <w:pStyle w:val="ListParagraph"/>
        <w:numPr>
          <w:ilvl w:val="0"/>
          <w:numId w:val="7"/>
        </w:numPr>
      </w:pPr>
      <w:r>
        <w:t>CEN ili ISO – nacrt nove norme simultano odobravanje</w:t>
      </w:r>
    </w:p>
    <w:p w:rsidR="00091061" w:rsidRDefault="00091061" w:rsidP="00091061">
      <w:pPr>
        <w:pStyle w:val="ListParagraph"/>
        <w:numPr>
          <w:ilvl w:val="0"/>
          <w:numId w:val="7"/>
        </w:numPr>
      </w:pPr>
      <w:r>
        <w:t>ISO članovi utječu na sadrţaj CEN i obrnuto</w:t>
      </w:r>
    </w:p>
    <w:p w:rsidR="00091061" w:rsidRDefault="00091061" w:rsidP="00091061">
      <w:pPr>
        <w:pStyle w:val="ListParagraph"/>
        <w:numPr>
          <w:ilvl w:val="0"/>
          <w:numId w:val="7"/>
        </w:numPr>
      </w:pPr>
      <w:r>
        <w:t xml:space="preserve">ISO uvaţava političku dimenziju CEN cca 30% CEN normi </w:t>
      </w:r>
    </w:p>
    <w:p w:rsidR="009B6E64" w:rsidRDefault="00091061" w:rsidP="00091061">
      <w:pPr>
        <w:pStyle w:val="ListParagraph"/>
        <w:numPr>
          <w:ilvl w:val="0"/>
          <w:numId w:val="7"/>
        </w:numPr>
      </w:pPr>
      <w:r>
        <w:t>2001.g. dodatak-annex</w:t>
      </w:r>
    </w:p>
    <w:p w:rsidR="00091061" w:rsidRDefault="00091061" w:rsidP="00091061">
      <w:pPr>
        <w:pStyle w:val="ListParagraph"/>
      </w:pPr>
    </w:p>
    <w:p w:rsidR="00091061" w:rsidRDefault="00091061" w:rsidP="00091061">
      <w:pPr>
        <w:pStyle w:val="ListParagraph"/>
      </w:pPr>
    </w:p>
    <w:p w:rsidR="00091061" w:rsidRDefault="00091061" w:rsidP="00091061">
      <w:pPr>
        <w:pStyle w:val="ListParagraph"/>
        <w:ind w:left="0"/>
        <w:rPr>
          <w:b/>
        </w:rPr>
      </w:pPr>
      <w:r w:rsidRPr="00091061">
        <w:rPr>
          <w:b/>
        </w:rPr>
        <w:t>CEN partnerska normizacijska tijela</w:t>
      </w:r>
    </w:p>
    <w:p w:rsidR="00091061" w:rsidRDefault="00091061" w:rsidP="00091061">
      <w:pPr>
        <w:pStyle w:val="ListParagraph"/>
        <w:ind w:left="0"/>
        <w:rPr>
          <w:b/>
        </w:rPr>
      </w:pPr>
    </w:p>
    <w:p w:rsidR="00091061" w:rsidRDefault="00091061" w:rsidP="00091061">
      <w:pPr>
        <w:pStyle w:val="ListParagraph"/>
        <w:numPr>
          <w:ilvl w:val="0"/>
          <w:numId w:val="8"/>
        </w:numPr>
      </w:pPr>
      <w:r w:rsidRPr="00091061">
        <w:t>Novi pristup od 2004</w:t>
      </w:r>
    </w:p>
    <w:p w:rsidR="00091061" w:rsidRDefault="00091061" w:rsidP="00091061">
      <w:pPr>
        <w:pStyle w:val="ListParagraph"/>
        <w:numPr>
          <w:ilvl w:val="0"/>
          <w:numId w:val="8"/>
        </w:numPr>
      </w:pPr>
      <w:r>
        <w:t>za:   ISO članice  drţave – EN kao osnovica nacionalne norme</w:t>
      </w:r>
    </w:p>
    <w:p w:rsidR="00091061" w:rsidRDefault="00091061" w:rsidP="00091061">
      <w:pPr>
        <w:pStyle w:val="ListParagraph"/>
        <w:numPr>
          <w:ilvl w:val="0"/>
          <w:numId w:val="8"/>
        </w:numPr>
      </w:pPr>
      <w:r>
        <w:t>prava:  *prodaja usvojenih EN od TO u kojima PSB sudjeluje</w:t>
      </w:r>
    </w:p>
    <w:p w:rsidR="00091061" w:rsidRDefault="00091061" w:rsidP="00091061">
      <w:pPr>
        <w:pStyle w:val="ListParagraph"/>
      </w:pPr>
      <w:r>
        <w:t xml:space="preserve">             *sudjelovanje u CEN TC i pododborima</w:t>
      </w:r>
    </w:p>
    <w:p w:rsidR="00091061" w:rsidRDefault="00091061" w:rsidP="00091061">
      <w:pPr>
        <w:pStyle w:val="ListParagraph"/>
        <w:numPr>
          <w:ilvl w:val="0"/>
          <w:numId w:val="9"/>
        </w:numPr>
      </w:pPr>
      <w:r>
        <w:t>obveze:  primjena EN iz TO u kojima PSB sudjeluje, kao nacionalna norma, povlačenje bilo koje protuslovne nacionalne norme uz usvajanje EN</w:t>
      </w:r>
    </w:p>
    <w:p w:rsidR="00091061" w:rsidRDefault="00091061" w:rsidP="00091061">
      <w:pPr>
        <w:pStyle w:val="ListParagraph"/>
      </w:pPr>
    </w:p>
    <w:p w:rsidR="00091061" w:rsidRDefault="00091061" w:rsidP="00091061">
      <w:pPr>
        <w:pStyle w:val="ListParagraph"/>
        <w:ind w:left="0"/>
      </w:pPr>
      <w:r w:rsidRPr="00091061">
        <w:rPr>
          <w:b/>
        </w:rPr>
        <w:t>CENCER znak</w:t>
      </w:r>
      <w:r>
        <w:t xml:space="preserve"> </w:t>
      </w:r>
    </w:p>
    <w:p w:rsidR="00091061" w:rsidRDefault="00091061" w:rsidP="00091061">
      <w:pPr>
        <w:pStyle w:val="ListParagraph"/>
        <w:ind w:left="0"/>
      </w:pPr>
    </w:p>
    <w:p w:rsidR="00091061" w:rsidRDefault="00091061" w:rsidP="00091061">
      <w:pPr>
        <w:pStyle w:val="ListParagraph"/>
        <w:numPr>
          <w:ilvl w:val="0"/>
          <w:numId w:val="9"/>
        </w:numPr>
      </w:pPr>
      <w:r>
        <w:t>oznaka certifikata sukladnosti, CEN</w:t>
      </w:r>
    </w:p>
    <w:p w:rsidR="00091061" w:rsidRDefault="00091061" w:rsidP="00091061">
      <w:pPr>
        <w:pStyle w:val="ListParagraph"/>
        <w:numPr>
          <w:ilvl w:val="0"/>
          <w:numId w:val="9"/>
        </w:numPr>
      </w:pPr>
      <w:r w:rsidRPr="00091061">
        <w:t>samo jedan proizvod</w:t>
      </w:r>
    </w:p>
    <w:p w:rsidR="00091061" w:rsidRDefault="00091061" w:rsidP="00091061">
      <w:pPr>
        <w:pStyle w:val="ListParagraph"/>
        <w:numPr>
          <w:ilvl w:val="0"/>
          <w:numId w:val="9"/>
        </w:numPr>
      </w:pPr>
      <w:r>
        <w:t>EN215 (Termostatski radijators</w:t>
      </w:r>
      <w:r w:rsidRPr="00091061">
        <w:t>u</w:t>
      </w:r>
      <w:r>
        <w:t>ki ventili-zahtjevi i postupci ispitivanja)</w:t>
      </w:r>
      <w:r w:rsidRPr="00091061">
        <w:t xml:space="preserve"> </w:t>
      </w:r>
    </w:p>
    <w:p w:rsidR="00091061" w:rsidRDefault="00091061" w:rsidP="00091061">
      <w:pPr>
        <w:pStyle w:val="ListParagraph"/>
      </w:pPr>
    </w:p>
    <w:p w:rsidR="00091061" w:rsidRDefault="00091061" w:rsidP="00091061">
      <w:pPr>
        <w:pStyle w:val="ListParagraph"/>
      </w:pPr>
    </w:p>
    <w:p w:rsidR="00091061" w:rsidRDefault="00091061" w:rsidP="00091061">
      <w:pPr>
        <w:pStyle w:val="ListParagraph"/>
        <w:ind w:left="0"/>
        <w:rPr>
          <w:b/>
        </w:rPr>
      </w:pPr>
      <w:r>
        <w:rPr>
          <w:b/>
        </w:rPr>
        <w:t>CEN Ž</w:t>
      </w:r>
      <w:r w:rsidRPr="00091061">
        <w:rPr>
          <w:b/>
        </w:rPr>
        <w:t>IG-KLJUČ</w:t>
      </w:r>
    </w:p>
    <w:p w:rsidR="00091061" w:rsidRDefault="00091061" w:rsidP="00091061">
      <w:pPr>
        <w:pStyle w:val="ListParagraph"/>
        <w:numPr>
          <w:ilvl w:val="0"/>
          <w:numId w:val="10"/>
        </w:numPr>
      </w:pPr>
      <w:r w:rsidRPr="00091061">
        <w:t>Strategija CEN-a iz 2010.g.</w:t>
      </w:r>
    </w:p>
    <w:p w:rsidR="00091061" w:rsidRPr="00091061" w:rsidRDefault="00091061" w:rsidP="00091061">
      <w:pPr>
        <w:pStyle w:val="ListParagraph"/>
        <w:numPr>
          <w:ilvl w:val="0"/>
          <w:numId w:val="10"/>
        </w:numPr>
      </w:pPr>
      <w:r>
        <w:t>„postati potvrĎeni pruţatelj europskih normi u području ocjene sukladnosti i promicati europski žig sukladnosti</w:t>
      </w:r>
      <w:r w:rsidRPr="00091061">
        <w:rPr>
          <w:rFonts w:ascii="Arial" w:hAnsi="Arial" w:cs="Arial"/>
        </w:rPr>
        <w:t>‖</w:t>
      </w:r>
    </w:p>
    <w:p w:rsidR="00091061" w:rsidRPr="00091061" w:rsidRDefault="00091061" w:rsidP="00091061">
      <w:pPr>
        <w:pStyle w:val="ListParagraph"/>
        <w:numPr>
          <w:ilvl w:val="0"/>
          <w:numId w:val="10"/>
        </w:numPr>
      </w:pPr>
      <w:r>
        <w:t>do 1. siječnja 2012.g.  „ispitano i potvrdjeno jednom, prihvaćeno svugdje― (eng. „tested and certified once, accepted everywhere―)</w:t>
      </w:r>
    </w:p>
    <w:sectPr w:rsidR="00091061" w:rsidRPr="00091061" w:rsidSect="00A13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613"/>
    <w:multiLevelType w:val="hybridMultilevel"/>
    <w:tmpl w:val="DFE042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846C5"/>
    <w:multiLevelType w:val="hybridMultilevel"/>
    <w:tmpl w:val="614C0A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D208A"/>
    <w:multiLevelType w:val="hybridMultilevel"/>
    <w:tmpl w:val="59CAF2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61EF2"/>
    <w:multiLevelType w:val="hybridMultilevel"/>
    <w:tmpl w:val="DE9EEF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8121D"/>
    <w:multiLevelType w:val="hybridMultilevel"/>
    <w:tmpl w:val="09704A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63DA7"/>
    <w:multiLevelType w:val="hybridMultilevel"/>
    <w:tmpl w:val="F662A04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101328"/>
    <w:multiLevelType w:val="hybridMultilevel"/>
    <w:tmpl w:val="3E0EFD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C56FA"/>
    <w:multiLevelType w:val="hybridMultilevel"/>
    <w:tmpl w:val="EC3A132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44AEB"/>
    <w:multiLevelType w:val="hybridMultilevel"/>
    <w:tmpl w:val="C3F2D8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8223E"/>
    <w:multiLevelType w:val="hybridMultilevel"/>
    <w:tmpl w:val="805811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791C"/>
    <w:rsid w:val="00091061"/>
    <w:rsid w:val="002A791C"/>
    <w:rsid w:val="009B6E64"/>
    <w:rsid w:val="00A1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F54F-4581-45A7-9FB0-4827B701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2011-05-08T18:12:00Z</dcterms:created>
  <dcterms:modified xsi:type="dcterms:W3CDTF">2011-05-08T18:33:00Z</dcterms:modified>
</cp:coreProperties>
</file>