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A48" w:rsidRDefault="00F871CF">
      <w:pPr>
        <w:rPr>
          <w:b/>
        </w:rPr>
      </w:pPr>
      <w:r w:rsidRPr="00F871CF">
        <w:rPr>
          <w:b/>
        </w:rPr>
        <w:t>Integrirani sustav normizacije</w:t>
      </w:r>
    </w:p>
    <w:p w:rsidR="00F871CF" w:rsidRDefault="00F871CF" w:rsidP="00F871CF">
      <w:pPr>
        <w:pStyle w:val="ListParagraph"/>
        <w:numPr>
          <w:ilvl w:val="0"/>
          <w:numId w:val="1"/>
        </w:numPr>
      </w:pPr>
      <w:r>
        <w:t>CEN, European Committee for Standardization</w:t>
      </w:r>
    </w:p>
    <w:p w:rsidR="00F871CF" w:rsidRDefault="00F871CF" w:rsidP="00F871CF">
      <w:pPr>
        <w:pStyle w:val="ListParagraph"/>
        <w:numPr>
          <w:ilvl w:val="0"/>
          <w:numId w:val="1"/>
        </w:numPr>
      </w:pPr>
      <w:r>
        <w:t>Europski odbor za normizaciju</w:t>
      </w:r>
    </w:p>
    <w:p w:rsidR="00F871CF" w:rsidRDefault="00F871CF" w:rsidP="00F871CF">
      <w:pPr>
        <w:pStyle w:val="ListParagraph"/>
      </w:pPr>
    </w:p>
    <w:p w:rsidR="00F871CF" w:rsidRDefault="00F871CF" w:rsidP="00F871CF">
      <w:pPr>
        <w:pStyle w:val="ListParagraph"/>
        <w:numPr>
          <w:ilvl w:val="0"/>
          <w:numId w:val="1"/>
        </w:numPr>
      </w:pPr>
      <w:r>
        <w:t>CENELEC, European Committee for Electrotechnical Standardization,  Europski odbor za elektrotehničku normizaciju  -  elektrotehnika</w:t>
      </w:r>
    </w:p>
    <w:p w:rsidR="00F871CF" w:rsidRDefault="00F871CF" w:rsidP="00F871CF">
      <w:pPr>
        <w:pStyle w:val="ListParagraph"/>
      </w:pPr>
    </w:p>
    <w:p w:rsidR="00F871CF" w:rsidRDefault="00F871CF" w:rsidP="00F871CF">
      <w:pPr>
        <w:pStyle w:val="ListParagraph"/>
        <w:numPr>
          <w:ilvl w:val="0"/>
          <w:numId w:val="1"/>
        </w:numPr>
      </w:pPr>
      <w:r>
        <w:t>ETSI, European Telecommunications Standards Institute Europski telekomunikacijski normizacijski institut  -  telekmunikacije</w:t>
      </w:r>
    </w:p>
    <w:p w:rsidR="00F871CF" w:rsidRDefault="00F871CF" w:rsidP="00F871CF">
      <w:pPr>
        <w:pStyle w:val="ListParagraph"/>
      </w:pPr>
    </w:p>
    <w:p w:rsidR="00F871CF" w:rsidRPr="00F871CF" w:rsidRDefault="00F871CF" w:rsidP="00F871CF">
      <w:pPr>
        <w:pStyle w:val="ListParagraph"/>
        <w:rPr>
          <w:b/>
        </w:rPr>
      </w:pPr>
    </w:p>
    <w:p w:rsidR="00F871CF" w:rsidRDefault="00F871CF" w:rsidP="00F871CF">
      <w:pPr>
        <w:pStyle w:val="ListParagraph"/>
        <w:ind w:left="0"/>
        <w:rPr>
          <w:b/>
        </w:rPr>
      </w:pPr>
      <w:r w:rsidRPr="00F871CF">
        <w:rPr>
          <w:b/>
        </w:rPr>
        <w:t>CENELEC</w:t>
      </w:r>
    </w:p>
    <w:p w:rsidR="00F871CF" w:rsidRDefault="00F871CF" w:rsidP="00F871CF">
      <w:pPr>
        <w:pStyle w:val="ListParagraph"/>
        <w:ind w:left="0"/>
      </w:pPr>
    </w:p>
    <w:p w:rsidR="00F871CF" w:rsidRDefault="00F871CF" w:rsidP="00F871CF">
      <w:pPr>
        <w:pStyle w:val="ListParagraph"/>
        <w:numPr>
          <w:ilvl w:val="0"/>
          <w:numId w:val="2"/>
        </w:numPr>
      </w:pPr>
      <w:r>
        <w:t>European Committee for Electrotechnical  Standardization (</w:t>
      </w:r>
      <w:r w:rsidRPr="00F871CF">
        <w:t>Europski odbor za elektrotehničku normizaciju</w:t>
      </w:r>
      <w:r>
        <w:t>)</w:t>
      </w:r>
    </w:p>
    <w:p w:rsidR="00F871CF" w:rsidRDefault="00F871CF" w:rsidP="00F871CF">
      <w:pPr>
        <w:pStyle w:val="ListParagraph"/>
        <w:numPr>
          <w:ilvl w:val="0"/>
          <w:numId w:val="2"/>
        </w:numPr>
      </w:pPr>
      <w:r w:rsidRPr="00F871CF">
        <w:t>1973, CENELCOM i CENEL</w:t>
      </w:r>
    </w:p>
    <w:p w:rsidR="00F871CF" w:rsidRDefault="00F871CF" w:rsidP="00F871CF">
      <w:pPr>
        <w:pStyle w:val="ListParagraph"/>
        <w:numPr>
          <w:ilvl w:val="0"/>
          <w:numId w:val="2"/>
        </w:numPr>
      </w:pPr>
      <w:r>
        <w:t>neprofitna organizacija</w:t>
      </w:r>
    </w:p>
    <w:p w:rsidR="00F871CF" w:rsidRDefault="00F871CF" w:rsidP="00F871CF">
      <w:pPr>
        <w:pStyle w:val="ListParagraph"/>
        <w:numPr>
          <w:ilvl w:val="0"/>
          <w:numId w:val="3"/>
        </w:numPr>
      </w:pPr>
      <w:r>
        <w:t>nacionalni elektrotehnički odbor</w:t>
      </w:r>
    </w:p>
    <w:p w:rsidR="00F871CF" w:rsidRDefault="00F871CF" w:rsidP="00F871CF">
      <w:pPr>
        <w:pStyle w:val="ListParagraph"/>
      </w:pPr>
      <w:r>
        <w:t xml:space="preserve">       12 susjednih pridruţenih članica</w:t>
      </w:r>
    </w:p>
    <w:p w:rsidR="00F871CF" w:rsidRDefault="00F871CF" w:rsidP="00F871CF">
      <w:pPr>
        <w:pStyle w:val="ListParagraph"/>
        <w:numPr>
          <w:ilvl w:val="0"/>
          <w:numId w:val="4"/>
        </w:numPr>
      </w:pPr>
      <w:r w:rsidRPr="00F871CF">
        <w:t>15000 tehničkih stručnjaka iz 31 europske zemlje</w:t>
      </w:r>
    </w:p>
    <w:p w:rsidR="00F871CF" w:rsidRDefault="00F871CF" w:rsidP="00F871CF">
      <w:pPr>
        <w:pStyle w:val="ListParagraph"/>
        <w:numPr>
          <w:ilvl w:val="0"/>
          <w:numId w:val="4"/>
        </w:numPr>
      </w:pPr>
      <w:r>
        <w:t>izravno utječe na: trţišni potencijal, tehnološki razvoj, garantira zdravlje i sigurnost potrošača i djelatnika</w:t>
      </w:r>
    </w:p>
    <w:p w:rsidR="00F871CF" w:rsidRDefault="00F871CF" w:rsidP="00F871CF">
      <w:pPr>
        <w:pStyle w:val="ListParagraph"/>
        <w:numPr>
          <w:ilvl w:val="0"/>
          <w:numId w:val="4"/>
        </w:numPr>
      </w:pPr>
      <w:r>
        <w:t>cilj: priprema dobrovoljnih elektrotehničkih normi za jedinstveno europsko trţište za električnu i elektroničku robu i usluge</w:t>
      </w:r>
    </w:p>
    <w:p w:rsidR="00F871CF" w:rsidRDefault="00F871CF" w:rsidP="00F871CF">
      <w:pPr>
        <w:pStyle w:val="ListParagraph"/>
        <w:numPr>
          <w:ilvl w:val="0"/>
          <w:numId w:val="4"/>
        </w:numPr>
      </w:pPr>
      <w:r>
        <w:t>CENELEC sporazum s radionice - otvoreno područje za razvoj prednormeza proizvode kratkog vijeka uz kratko vrijeme do trţišta  (CWA)</w:t>
      </w:r>
    </w:p>
    <w:p w:rsidR="00F871CF" w:rsidRDefault="00F871CF" w:rsidP="00F871CF"/>
    <w:p w:rsidR="00F871CF" w:rsidRDefault="00F871CF" w:rsidP="00F871CF">
      <w:pPr>
        <w:pStyle w:val="ListParagraph"/>
        <w:numPr>
          <w:ilvl w:val="0"/>
          <w:numId w:val="4"/>
        </w:numPr>
      </w:pPr>
      <w:r>
        <w:t>Meter Convention, Pariz, 20. svibnja 1875.g.</w:t>
      </w:r>
    </w:p>
    <w:p w:rsidR="00F871CF" w:rsidRDefault="00F871CF" w:rsidP="00F871CF">
      <w:pPr>
        <w:pStyle w:val="ListParagraph"/>
      </w:pPr>
      <w:r>
        <w:tab/>
      </w:r>
      <w:r>
        <w:tab/>
        <w:t>17 drzava</w:t>
      </w:r>
    </w:p>
    <w:p w:rsidR="00F871CF" w:rsidRDefault="00F871CF" w:rsidP="00F871CF">
      <w:pPr>
        <w:pStyle w:val="ListParagraph"/>
      </w:pPr>
      <w:r>
        <w:tab/>
      </w:r>
      <w:r>
        <w:tab/>
        <w:t xml:space="preserve">General Conference on Weights and Measures (CGPM), </w:t>
      </w:r>
    </w:p>
    <w:p w:rsidR="00F871CF" w:rsidRDefault="00F871CF" w:rsidP="00F871CF">
      <w:pPr>
        <w:pStyle w:val="ListParagraph"/>
      </w:pPr>
      <w:r>
        <w:tab/>
      </w:r>
      <w:r>
        <w:tab/>
        <w:t xml:space="preserve">International Committee for Weights and Measures (CIPM) </w:t>
      </w:r>
    </w:p>
    <w:p w:rsidR="00F871CF" w:rsidRDefault="00F871CF" w:rsidP="00F871CF">
      <w:pPr>
        <w:pStyle w:val="ListParagraph"/>
      </w:pPr>
      <w:r>
        <w:tab/>
      </w:r>
      <w:r>
        <w:tab/>
        <w:t>International Bureau of Weights and Measures (BIPM)</w:t>
      </w:r>
    </w:p>
    <w:p w:rsidR="00F871CF" w:rsidRDefault="00F871CF" w:rsidP="00F871CF">
      <w:pPr>
        <w:pStyle w:val="ListParagraph"/>
      </w:pPr>
    </w:p>
    <w:p w:rsidR="00F871CF" w:rsidRDefault="00F871CF" w:rsidP="00F871CF">
      <w:pPr>
        <w:pStyle w:val="ListParagraph"/>
        <w:numPr>
          <w:ilvl w:val="0"/>
          <w:numId w:val="5"/>
        </w:numPr>
      </w:pPr>
      <w:r>
        <w:t>svjetska metrologija, RH pridruţena 16. lipnja 2005.g</w:t>
      </w:r>
    </w:p>
    <w:p w:rsidR="00F871CF" w:rsidRDefault="00F871CF" w:rsidP="00F871CF"/>
    <w:p w:rsidR="00F871CF" w:rsidRDefault="00F871CF" w:rsidP="00F871CF">
      <w:pPr>
        <w:pStyle w:val="ListParagraph"/>
        <w:numPr>
          <w:ilvl w:val="0"/>
          <w:numId w:val="5"/>
        </w:numPr>
      </w:pPr>
      <w:r>
        <w:t>International Electrical Congress, St. Louis, 1904.g.</w:t>
      </w:r>
    </w:p>
    <w:p w:rsidR="00F871CF" w:rsidRDefault="00F871CF" w:rsidP="00F871CF">
      <w:pPr>
        <w:pStyle w:val="ListParagraph"/>
        <w:numPr>
          <w:ilvl w:val="0"/>
          <w:numId w:val="5"/>
        </w:numPr>
      </w:pPr>
      <w:r>
        <w:t>- predlaţe se IEC, koji se i osniva 26-27. lipnja 1906.g. u Londonu</w:t>
      </w:r>
    </w:p>
    <w:p w:rsidR="00F871CF" w:rsidRDefault="00F871CF" w:rsidP="00F871CF">
      <w:pPr>
        <w:pStyle w:val="ListParagraph"/>
        <w:ind w:left="1440"/>
      </w:pPr>
    </w:p>
    <w:p w:rsidR="00F871CF" w:rsidRDefault="00F871CF" w:rsidP="00F871CF">
      <w:pPr>
        <w:pStyle w:val="ListParagraph"/>
        <w:numPr>
          <w:ilvl w:val="0"/>
          <w:numId w:val="5"/>
        </w:numPr>
      </w:pPr>
      <w:r>
        <w:t xml:space="preserve">IFK (Installationsfragen-Kommission), 1926, Berlin </w:t>
      </w:r>
    </w:p>
    <w:p w:rsidR="00F871CF" w:rsidRDefault="00F871CF" w:rsidP="00F871CF">
      <w:pPr>
        <w:pStyle w:val="ListParagraph"/>
        <w:numPr>
          <w:ilvl w:val="0"/>
          <w:numId w:val="5"/>
        </w:numPr>
      </w:pPr>
      <w:r>
        <w:t>“izda pravila i propise za električnu opremu i provjeri ispunjavanje istih”</w:t>
      </w:r>
    </w:p>
    <w:p w:rsidR="00F871CF" w:rsidRDefault="00F871CF" w:rsidP="00F871CF">
      <w:pPr>
        <w:pStyle w:val="ListParagraph"/>
        <w:ind w:left="1440"/>
      </w:pPr>
    </w:p>
    <w:p w:rsidR="00F871CF" w:rsidRDefault="00F871CF" w:rsidP="00F871CF">
      <w:pPr>
        <w:pStyle w:val="ListParagraph"/>
        <w:numPr>
          <w:ilvl w:val="0"/>
          <w:numId w:val="5"/>
        </w:numPr>
      </w:pPr>
      <w:r>
        <w:lastRenderedPageBreak/>
        <w:t xml:space="preserve">1946, Commission on Rules for the Approval of Electrical Equipment (CEE ili CEEel) </w:t>
      </w:r>
    </w:p>
    <w:p w:rsidR="00F871CF" w:rsidRDefault="00F871CF" w:rsidP="00F871CF">
      <w:pPr>
        <w:pStyle w:val="ListParagraph"/>
        <w:ind w:left="1440"/>
      </w:pPr>
      <w:r>
        <w:t>prve CEE/CEEel specifikacije koje definiraju karakteristike elektrotehničkih proizvoda su izdane u 1949</w:t>
      </w:r>
    </w:p>
    <w:p w:rsidR="00F871CF" w:rsidRDefault="00F871CF" w:rsidP="00F871CF">
      <w:pPr>
        <w:pStyle w:val="ListParagraph"/>
        <w:ind w:left="1440"/>
      </w:pPr>
    </w:p>
    <w:p w:rsidR="00F871CF" w:rsidRDefault="00F871CF" w:rsidP="00F871CF">
      <w:pPr>
        <w:pStyle w:val="ListParagraph"/>
        <w:numPr>
          <w:ilvl w:val="0"/>
          <w:numId w:val="6"/>
        </w:numPr>
      </w:pPr>
      <w:r>
        <w:t>Sporazum o suradnji potpisan s IEC; prvo zajedničko izdanje u 1952.g.</w:t>
      </w:r>
    </w:p>
    <w:p w:rsidR="00F871CF" w:rsidRDefault="00F871CF" w:rsidP="00F871CF"/>
    <w:p w:rsidR="00F871CF" w:rsidRDefault="00F871CF" w:rsidP="00F871CF">
      <w:pPr>
        <w:pStyle w:val="ListParagraph"/>
        <w:numPr>
          <w:ilvl w:val="0"/>
          <w:numId w:val="6"/>
        </w:numPr>
      </w:pPr>
      <w:r>
        <w:t xml:space="preserve">Treaty of Rome, 25. oţujka 1957.g. </w:t>
      </w:r>
    </w:p>
    <w:p w:rsidR="00F871CF" w:rsidRDefault="00F871CF" w:rsidP="00A43AAD">
      <w:pPr>
        <w:pStyle w:val="ListParagraph"/>
        <w:numPr>
          <w:ilvl w:val="0"/>
          <w:numId w:val="6"/>
        </w:numPr>
      </w:pPr>
      <w:r>
        <w:t>prvi “EEC” ideja i potreba za koordinacijom i suglasjem normi u svim EEC zemljama članicama radi postizanja zajedničkog trţišta za elektrotehničku robu</w:t>
      </w:r>
    </w:p>
    <w:p w:rsidR="00A43AAD" w:rsidRDefault="00A43AAD" w:rsidP="00A43AAD">
      <w:pPr>
        <w:pStyle w:val="ListParagraph"/>
        <w:ind w:left="2160"/>
      </w:pPr>
      <w:r>
        <w:t>“Zemlje članice su jednoznačno odlučile ukinuti postojeće zapreke trgovini, stvorene u zakonodavstvu i normizaciji”</w:t>
      </w:r>
    </w:p>
    <w:p w:rsidR="00A43AAD" w:rsidRDefault="00A43AAD" w:rsidP="00A43AAD">
      <w:pPr>
        <w:pStyle w:val="ListParagraph"/>
        <w:ind w:left="0"/>
      </w:pPr>
    </w:p>
    <w:p w:rsidR="00A43AAD" w:rsidRDefault="00A43AAD" w:rsidP="00A43AAD">
      <w:pPr>
        <w:pStyle w:val="ListParagraph"/>
        <w:ind w:left="0"/>
      </w:pPr>
    </w:p>
    <w:p w:rsidR="00A43AAD" w:rsidRDefault="00A43AAD" w:rsidP="00A43AAD">
      <w:pPr>
        <w:pStyle w:val="ListParagraph"/>
        <w:numPr>
          <w:ilvl w:val="0"/>
          <w:numId w:val="8"/>
        </w:numPr>
      </w:pPr>
      <w:r>
        <w:t xml:space="preserve">1959.g. </w:t>
      </w:r>
    </w:p>
    <w:p w:rsidR="00A43AAD" w:rsidRDefault="00A43AAD" w:rsidP="00A43AAD">
      <w:pPr>
        <w:pStyle w:val="ListParagraph"/>
        <w:numPr>
          <w:ilvl w:val="0"/>
          <w:numId w:val="8"/>
        </w:numPr>
      </w:pPr>
      <w:r>
        <w:t>pet IEC Nacionalnih elektrotehničkih odbora (Belgija, Francuska, Njemačka, Italija i Nizozemska) Luksemburg</w:t>
      </w:r>
    </w:p>
    <w:p w:rsidR="00A43AAD" w:rsidRDefault="00A43AAD" w:rsidP="00A43AAD"/>
    <w:p w:rsidR="00A43AAD" w:rsidRDefault="00A43AAD" w:rsidP="00A43AAD">
      <w:pPr>
        <w:pStyle w:val="ListParagraph"/>
        <w:numPr>
          <w:ilvl w:val="0"/>
          <w:numId w:val="8"/>
        </w:numPr>
      </w:pPr>
      <w:r>
        <w:t>1963, CENELCOM</w:t>
      </w:r>
    </w:p>
    <w:p w:rsidR="00A43AAD" w:rsidRDefault="00A43AAD" w:rsidP="00A43AAD">
      <w:pPr>
        <w:pStyle w:val="ListParagraph"/>
        <w:numPr>
          <w:ilvl w:val="0"/>
          <w:numId w:val="8"/>
        </w:numPr>
      </w:pPr>
      <w:r>
        <w:t>European Committee for the Coordination of Electrotechnical Standards in the European Economic Community</w:t>
      </w:r>
    </w:p>
    <w:p w:rsidR="00A43AAD" w:rsidRDefault="00A43AAD" w:rsidP="00A43AAD">
      <w:pPr>
        <w:pStyle w:val="ListParagraph"/>
        <w:numPr>
          <w:ilvl w:val="0"/>
          <w:numId w:val="8"/>
        </w:numPr>
      </w:pPr>
      <w:r>
        <w:t>Europski odbor za koordinaciju elektrotehničkih normi u Europskoj ekonomskoj zajednici</w:t>
      </w:r>
    </w:p>
    <w:p w:rsidR="00A43AAD" w:rsidRDefault="00A43AAD" w:rsidP="00A43AAD">
      <w:pPr>
        <w:pStyle w:val="ListParagraph"/>
      </w:pPr>
    </w:p>
    <w:p w:rsidR="00A43AAD" w:rsidRDefault="00A43AAD" w:rsidP="00A43AAD">
      <w:pPr>
        <w:pStyle w:val="ListParagraph"/>
      </w:pPr>
    </w:p>
    <w:p w:rsidR="00A43AAD" w:rsidRDefault="00A43AAD" w:rsidP="00A43AAD">
      <w:pPr>
        <w:pStyle w:val="ListParagraph"/>
      </w:pPr>
      <w:r w:rsidRPr="00A43AAD">
        <w:rPr>
          <w:b/>
        </w:rPr>
        <w:t>principi CENELCOM</w:t>
      </w:r>
      <w:r>
        <w:rPr>
          <w:b/>
        </w:rPr>
        <w:t>:</w:t>
      </w:r>
    </w:p>
    <w:p w:rsidR="00A43AAD" w:rsidRDefault="00A43AAD" w:rsidP="00A43AAD">
      <w:pPr>
        <w:pStyle w:val="ListParagraph"/>
        <w:numPr>
          <w:ilvl w:val="0"/>
          <w:numId w:val="9"/>
        </w:numPr>
      </w:pPr>
      <w:r>
        <w:t>•prioritet za rad s IEC kad god je moguće</w:t>
      </w:r>
    </w:p>
    <w:p w:rsidR="00A43AAD" w:rsidRDefault="00A43AAD" w:rsidP="00A43AAD">
      <w:pPr>
        <w:pStyle w:val="ListParagraph"/>
        <w:numPr>
          <w:ilvl w:val="0"/>
          <w:numId w:val="9"/>
        </w:numPr>
      </w:pPr>
      <w:r>
        <w:t>•meĎusobne informacije o novom nacionalnom radu</w:t>
      </w:r>
    </w:p>
    <w:p w:rsidR="00A43AAD" w:rsidRDefault="00A43AAD" w:rsidP="00A43AAD">
      <w:pPr>
        <w:pStyle w:val="ListParagraph"/>
        <w:numPr>
          <w:ilvl w:val="0"/>
          <w:numId w:val="9"/>
        </w:numPr>
      </w:pPr>
      <w:r>
        <w:t>•tehnička suradnja tehničkih grupa</w:t>
      </w:r>
    </w:p>
    <w:p w:rsidR="00A43AAD" w:rsidRDefault="00A43AAD" w:rsidP="00A43AAD">
      <w:pPr>
        <w:pStyle w:val="ListParagraph"/>
        <w:numPr>
          <w:ilvl w:val="0"/>
          <w:numId w:val="9"/>
        </w:numPr>
      </w:pPr>
      <w:r>
        <w:t>•suradnja u testiranju i licenciranju</w:t>
      </w:r>
    </w:p>
    <w:p w:rsidR="009E0250" w:rsidRDefault="009E0250" w:rsidP="009E0250">
      <w:pPr>
        <w:pStyle w:val="ListParagraph"/>
        <w:ind w:left="1440"/>
      </w:pPr>
    </w:p>
    <w:p w:rsidR="009E0250" w:rsidRDefault="009E0250" w:rsidP="009E0250">
      <w:pPr>
        <w:pStyle w:val="ListParagraph"/>
        <w:ind w:left="0"/>
      </w:pPr>
    </w:p>
    <w:p w:rsidR="009E0250" w:rsidRPr="009E0250" w:rsidRDefault="009E0250" w:rsidP="009E0250">
      <w:pPr>
        <w:pStyle w:val="ListParagraph"/>
        <w:numPr>
          <w:ilvl w:val="0"/>
          <w:numId w:val="9"/>
        </w:numPr>
        <w:ind w:left="0"/>
        <w:rPr>
          <w:i/>
          <w:u w:val="single"/>
        </w:rPr>
      </w:pPr>
      <w:r w:rsidRPr="009E0250">
        <w:rPr>
          <w:i/>
          <w:u w:val="single"/>
        </w:rPr>
        <w:t>MeĎunarodni i regionalni partner</w:t>
      </w:r>
      <w:r>
        <w:rPr>
          <w:i/>
          <w:u w:val="single"/>
        </w:rPr>
        <w:t>i</w:t>
      </w:r>
    </w:p>
    <w:p w:rsidR="009E0250" w:rsidRDefault="009E0250" w:rsidP="009E0250">
      <w:pPr>
        <w:pStyle w:val="ListParagraph"/>
      </w:pPr>
      <w:r>
        <w:t>CEN, Brussels, Belgija</w:t>
      </w:r>
    </w:p>
    <w:p w:rsidR="009E0250" w:rsidRDefault="009E0250" w:rsidP="009E0250">
      <w:pPr>
        <w:pStyle w:val="ListParagraph"/>
      </w:pPr>
      <w:r>
        <w:t>ETSI, Sophia Antipolis, Francuska</w:t>
      </w:r>
    </w:p>
    <w:p w:rsidR="009E0250" w:rsidRDefault="009E0250" w:rsidP="009E0250">
      <w:pPr>
        <w:pStyle w:val="ListParagraph"/>
      </w:pPr>
      <w:r>
        <w:t>IEC, Geneva, Švicarska</w:t>
      </w:r>
    </w:p>
    <w:p w:rsidR="009E0250" w:rsidRDefault="009E0250" w:rsidP="009E0250">
      <w:pPr>
        <w:pStyle w:val="ListParagraph"/>
      </w:pPr>
      <w:r>
        <w:t>ISO, Geneva, Švicarska</w:t>
      </w:r>
    </w:p>
    <w:p w:rsidR="009E0250" w:rsidRDefault="009E0250" w:rsidP="009E0250">
      <w:pPr>
        <w:pStyle w:val="ListParagraph"/>
      </w:pPr>
      <w:r>
        <w:t>ITU, Geneva, Švicarska</w:t>
      </w:r>
    </w:p>
    <w:p w:rsidR="009E0250" w:rsidRDefault="009E0250" w:rsidP="009E0250">
      <w:pPr>
        <w:pStyle w:val="ListParagraph"/>
      </w:pPr>
      <w:r>
        <w:t>AMN, Sao Paolo, Brazil</w:t>
      </w:r>
    </w:p>
    <w:p w:rsidR="009E0250" w:rsidRDefault="009E0250" w:rsidP="009E0250">
      <w:pPr>
        <w:pStyle w:val="ListParagraph"/>
      </w:pPr>
      <w:r>
        <w:t>ANSI, Washington DC, SAD</w:t>
      </w:r>
    </w:p>
    <w:p w:rsidR="009E0250" w:rsidRDefault="009E0250" w:rsidP="009E0250">
      <w:pPr>
        <w:pStyle w:val="ListParagraph"/>
      </w:pPr>
      <w:r>
        <w:t>CANENA, Rosslyn, SAD</w:t>
      </w:r>
    </w:p>
    <w:p w:rsidR="009E0250" w:rsidRDefault="009E0250" w:rsidP="009E0250">
      <w:pPr>
        <w:pStyle w:val="ListParagraph"/>
        <w:ind w:left="0"/>
      </w:pPr>
      <w:r>
        <w:t xml:space="preserve">              JISC, Tokyo, Japan</w:t>
      </w:r>
    </w:p>
    <w:p w:rsidR="009E0250" w:rsidRDefault="009E0250" w:rsidP="009E0250">
      <w:pPr>
        <w:pStyle w:val="ListParagraph"/>
        <w:ind w:left="0"/>
      </w:pPr>
    </w:p>
    <w:p w:rsidR="009E0250" w:rsidRDefault="009E0250" w:rsidP="009E0250">
      <w:pPr>
        <w:pStyle w:val="ListParagraph"/>
        <w:ind w:left="0"/>
      </w:pPr>
      <w:r w:rsidRPr="009E0250">
        <w:rPr>
          <w:b/>
        </w:rPr>
        <w:lastRenderedPageBreak/>
        <w:t>ETSI</w:t>
      </w:r>
      <w:r>
        <w:t xml:space="preserve"> </w:t>
      </w:r>
    </w:p>
    <w:p w:rsidR="009E0250" w:rsidRDefault="009E0250" w:rsidP="009E0250">
      <w:pPr>
        <w:pStyle w:val="ListParagraph"/>
        <w:numPr>
          <w:ilvl w:val="0"/>
          <w:numId w:val="10"/>
        </w:numPr>
      </w:pPr>
      <w:r>
        <w:t>European Telecommunications Standards Institute (Europski institut za telekomunikacijske norme)</w:t>
      </w:r>
    </w:p>
    <w:p w:rsidR="009E0250" w:rsidRDefault="009E0250" w:rsidP="009E0250">
      <w:pPr>
        <w:pStyle w:val="ListParagraph"/>
        <w:numPr>
          <w:ilvl w:val="0"/>
          <w:numId w:val="10"/>
        </w:numPr>
      </w:pPr>
      <w:r w:rsidRPr="009E0250">
        <w:t>1988.g., neprofitna organizacija</w:t>
      </w:r>
      <w:r>
        <w:t xml:space="preserve">, </w:t>
      </w:r>
      <w:r w:rsidRPr="009E0250">
        <w:t>786 članova, 56 zemalja</w:t>
      </w:r>
    </w:p>
    <w:p w:rsidR="009E0250" w:rsidRDefault="009E0250" w:rsidP="009E0250">
      <w:pPr>
        <w:pStyle w:val="ListParagraph"/>
      </w:pPr>
    </w:p>
    <w:p w:rsidR="009E0250" w:rsidRDefault="009E0250" w:rsidP="009E0250">
      <w:pPr>
        <w:pStyle w:val="ListParagraph"/>
        <w:numPr>
          <w:ilvl w:val="0"/>
          <w:numId w:val="10"/>
        </w:numPr>
      </w:pPr>
      <w:r>
        <w:t xml:space="preserve">-tehnička specifikacija (ETSI TS)…….tehničko tijelo </w:t>
      </w:r>
    </w:p>
    <w:p w:rsidR="009E0250" w:rsidRDefault="009E0250" w:rsidP="009E0250">
      <w:pPr>
        <w:pStyle w:val="ListParagraph"/>
        <w:numPr>
          <w:ilvl w:val="0"/>
          <w:numId w:val="10"/>
        </w:numPr>
      </w:pPr>
      <w:r>
        <w:t>-tehničko izvješće (ETSI TR)</w:t>
      </w:r>
    </w:p>
    <w:p w:rsidR="009E0250" w:rsidRDefault="009E0250" w:rsidP="009E0250">
      <w:pPr>
        <w:pStyle w:val="ListParagraph"/>
        <w:numPr>
          <w:ilvl w:val="0"/>
          <w:numId w:val="10"/>
        </w:numPr>
      </w:pPr>
      <w:r>
        <w:t>-norme (ETSI ES) ...........................ETSI članstvo</w:t>
      </w:r>
    </w:p>
    <w:p w:rsidR="009E0250" w:rsidRDefault="009E0250" w:rsidP="009E0250">
      <w:pPr>
        <w:pStyle w:val="ListParagraph"/>
        <w:numPr>
          <w:ilvl w:val="0"/>
          <w:numId w:val="10"/>
        </w:numPr>
      </w:pPr>
      <w:r>
        <w:t>-priručnici (ETSI EG)</w:t>
      </w:r>
    </w:p>
    <w:p w:rsidR="009E0250" w:rsidRDefault="009E0250" w:rsidP="009E0250">
      <w:pPr>
        <w:pStyle w:val="ListParagraph"/>
        <w:numPr>
          <w:ilvl w:val="0"/>
          <w:numId w:val="10"/>
        </w:numPr>
      </w:pPr>
      <w:r>
        <w:t>-europska norma iz područja telekomunikacija (ETSI EN)</w:t>
      </w:r>
    </w:p>
    <w:p w:rsidR="009E0250" w:rsidRDefault="009E0250" w:rsidP="009E0250">
      <w:pPr>
        <w:pStyle w:val="ListParagraph"/>
        <w:numPr>
          <w:ilvl w:val="0"/>
          <w:numId w:val="10"/>
        </w:numPr>
      </w:pPr>
      <w:r>
        <w:t xml:space="preserve">-specijalno izvješće (ETSI SR) .....javnost  </w:t>
      </w:r>
    </w:p>
    <w:p w:rsidR="009E0250" w:rsidRDefault="009E0250" w:rsidP="009E0250">
      <w:pPr>
        <w:pStyle w:val="ListParagraph"/>
      </w:pPr>
    </w:p>
    <w:p w:rsidR="009E0250" w:rsidRDefault="009E0250" w:rsidP="009E0250">
      <w:pPr>
        <w:pStyle w:val="ListParagraph"/>
      </w:pPr>
      <w:r>
        <w:t>nacionalna administracija</w:t>
      </w:r>
    </w:p>
    <w:p w:rsidR="009E0250" w:rsidRDefault="009E0250" w:rsidP="009E0250">
      <w:pPr>
        <w:pStyle w:val="ListParagraph"/>
      </w:pPr>
      <w:r>
        <w:t>mreţni operator</w:t>
      </w:r>
    </w:p>
    <w:p w:rsidR="009E0250" w:rsidRDefault="009E0250" w:rsidP="009E0250">
      <w:pPr>
        <w:pStyle w:val="ListParagraph"/>
      </w:pPr>
      <w:r>
        <w:t>proizvoĎač</w:t>
      </w:r>
    </w:p>
    <w:p w:rsidR="009E0250" w:rsidRDefault="009E0250" w:rsidP="009E0250">
      <w:pPr>
        <w:pStyle w:val="ListParagraph"/>
      </w:pPr>
      <w:r>
        <w:t>davatelj usluge</w:t>
      </w:r>
    </w:p>
    <w:p w:rsidR="009E0250" w:rsidRDefault="009E0250" w:rsidP="009E0250">
      <w:pPr>
        <w:pStyle w:val="ListParagraph"/>
      </w:pPr>
      <w:r>
        <w:t>znanstvena institucija</w:t>
      </w:r>
    </w:p>
    <w:p w:rsidR="009E0250" w:rsidRDefault="009E0250" w:rsidP="009E0250">
      <w:pPr>
        <w:pStyle w:val="ListParagraph"/>
      </w:pPr>
      <w:r>
        <w:t>korisnik</w:t>
      </w:r>
    </w:p>
    <w:p w:rsidR="009E0250" w:rsidRDefault="009E0250" w:rsidP="009E0250">
      <w:pPr>
        <w:pStyle w:val="ListParagraph"/>
      </w:pPr>
    </w:p>
    <w:p w:rsidR="009E0250" w:rsidRDefault="009E0250" w:rsidP="009E0250">
      <w:pPr>
        <w:pStyle w:val="ListParagraph"/>
      </w:pPr>
      <w:r>
        <w:t>ETSI statut</w:t>
      </w:r>
    </w:p>
    <w:p w:rsidR="009E0250" w:rsidRDefault="009E0250" w:rsidP="009E0250">
      <w:pPr>
        <w:pStyle w:val="ListParagraph"/>
      </w:pPr>
      <w:r>
        <w:t>pravila</w:t>
      </w:r>
    </w:p>
    <w:p w:rsidR="009E0250" w:rsidRDefault="009E0250" w:rsidP="009E0250">
      <w:pPr>
        <w:pStyle w:val="ListParagraph"/>
      </w:pPr>
      <w:r>
        <w:t xml:space="preserve">radni postupci </w:t>
      </w:r>
    </w:p>
    <w:p w:rsidR="009E0250" w:rsidRDefault="009E0250" w:rsidP="009E0250">
      <w:pPr>
        <w:pStyle w:val="ListParagraph"/>
      </w:pPr>
      <w:r>
        <w:t>tehnička pravila</w:t>
      </w:r>
    </w:p>
    <w:p w:rsidR="009E0250" w:rsidRDefault="009E0250" w:rsidP="009E0250">
      <w:pPr>
        <w:pStyle w:val="ListParagraph"/>
      </w:pPr>
    </w:p>
    <w:p w:rsidR="009E0250" w:rsidRDefault="009E0250" w:rsidP="009E0250">
      <w:pPr>
        <w:pStyle w:val="ListParagraph"/>
        <w:numPr>
          <w:ilvl w:val="0"/>
          <w:numId w:val="11"/>
        </w:numPr>
      </w:pPr>
      <w:r w:rsidRPr="009E0250">
        <w:t>predsjedavajući svakog tehničkog tijela</w:t>
      </w:r>
    </w:p>
    <w:p w:rsidR="009E0250" w:rsidRDefault="009E0250" w:rsidP="009E0250">
      <w:pPr>
        <w:pStyle w:val="ListParagraph"/>
        <w:numPr>
          <w:ilvl w:val="0"/>
          <w:numId w:val="11"/>
        </w:numPr>
      </w:pPr>
      <w:r>
        <w:t>ukupno voĎenje tehničkog tijela, njegovih radnih grupa, kao i izvršavanja radnog programa</w:t>
      </w:r>
    </w:p>
    <w:p w:rsidR="009E0250" w:rsidRDefault="009E0250" w:rsidP="009E0250">
      <w:pPr>
        <w:pStyle w:val="ListParagraph"/>
        <w:numPr>
          <w:ilvl w:val="0"/>
          <w:numId w:val="11"/>
        </w:numPr>
      </w:pPr>
      <w:r>
        <w:t>odgovornost za radnu točku - grupa stručnjaka, s predsjedavajući(o)m Rapporteur</w:t>
      </w:r>
    </w:p>
    <w:p w:rsidR="009E0250" w:rsidRDefault="009E0250" w:rsidP="009E0250">
      <w:pPr>
        <w:pStyle w:val="ListParagraph"/>
        <w:numPr>
          <w:ilvl w:val="0"/>
          <w:numId w:val="11"/>
        </w:numPr>
      </w:pPr>
      <w:r>
        <w:t>radni dokumenti - samo za članove ETSI besplatan i raspoloţiv svima zainteresiranima</w:t>
      </w:r>
    </w:p>
    <w:p w:rsidR="009E0250" w:rsidRDefault="009E0250" w:rsidP="009E0250">
      <w:pPr>
        <w:pStyle w:val="ListParagraph"/>
        <w:ind w:left="1440"/>
      </w:pPr>
    </w:p>
    <w:p w:rsidR="009E0250" w:rsidRDefault="009E0250" w:rsidP="009E0250">
      <w:pPr>
        <w:pStyle w:val="ListParagraph"/>
        <w:ind w:left="0"/>
        <w:rPr>
          <w:i/>
          <w:u w:val="single"/>
        </w:rPr>
      </w:pPr>
      <w:r w:rsidRPr="009E0250">
        <w:rPr>
          <w:i/>
          <w:u w:val="single"/>
        </w:rPr>
        <w:t>opći sabor - najviše tijelo ETSI</w:t>
      </w:r>
    </w:p>
    <w:p w:rsidR="009E0250" w:rsidRDefault="009E0250" w:rsidP="009E0250">
      <w:pPr>
        <w:pStyle w:val="ListParagraph"/>
        <w:numPr>
          <w:ilvl w:val="0"/>
          <w:numId w:val="12"/>
        </w:numPr>
      </w:pPr>
      <w:r>
        <w:t>odreĎuje politiku, financije, članstvo, postavlja članove uprave, generalnog direktora (i zamjenike), uvodi vanjske sporazume i odobrava statute i pravila procedure</w:t>
      </w:r>
    </w:p>
    <w:p w:rsidR="009E0250" w:rsidRDefault="009E0250" w:rsidP="009E0250">
      <w:pPr>
        <w:pStyle w:val="ListParagraph"/>
        <w:numPr>
          <w:ilvl w:val="0"/>
          <w:numId w:val="12"/>
        </w:numPr>
      </w:pPr>
      <w:r>
        <w:t>sastaje se obično dva puta godišnje</w:t>
      </w:r>
    </w:p>
    <w:p w:rsidR="009E0250" w:rsidRDefault="009E0250" w:rsidP="009E0250">
      <w:pPr>
        <w:pStyle w:val="ListParagraph"/>
      </w:pPr>
    </w:p>
    <w:p w:rsidR="009E0250" w:rsidRDefault="009E0250" w:rsidP="009E0250">
      <w:pPr>
        <w:pStyle w:val="ListParagraph"/>
        <w:ind w:left="0"/>
      </w:pPr>
      <w:r w:rsidRPr="009E0250">
        <w:rPr>
          <w:i/>
          <w:u w:val="single"/>
        </w:rPr>
        <w:t>uprava</w:t>
      </w:r>
    </w:p>
    <w:p w:rsidR="009E0250" w:rsidRDefault="009E0250" w:rsidP="009E0250">
      <w:pPr>
        <w:pStyle w:val="ListParagraph"/>
        <w:numPr>
          <w:ilvl w:val="0"/>
          <w:numId w:val="13"/>
        </w:numPr>
      </w:pPr>
      <w:r>
        <w:t>rješavanje pitanja dodijeljenih od strane Općeg sabora</w:t>
      </w:r>
    </w:p>
    <w:p w:rsidR="009E0250" w:rsidRDefault="009E0250" w:rsidP="009E0250">
      <w:pPr>
        <w:pStyle w:val="ListParagraph"/>
        <w:numPr>
          <w:ilvl w:val="0"/>
          <w:numId w:val="13"/>
        </w:numPr>
      </w:pPr>
      <w:r>
        <w:t>davanje savjeta, prijedloga i odluka glede financijskih, tehničkih i administrativnih funkcija</w:t>
      </w:r>
    </w:p>
    <w:p w:rsidR="009E0250" w:rsidRDefault="009E0250" w:rsidP="009E0250">
      <w:pPr>
        <w:pStyle w:val="ListParagraph"/>
      </w:pPr>
      <w:r>
        <w:t>prema rezoluciji Općeg sabora</w:t>
      </w:r>
    </w:p>
    <w:p w:rsidR="009E0250" w:rsidRDefault="009E0250" w:rsidP="009E0250">
      <w:pPr>
        <w:pStyle w:val="ListParagraph"/>
      </w:pPr>
    </w:p>
    <w:p w:rsidR="009E0250" w:rsidRDefault="009E0250" w:rsidP="009E0250">
      <w:pPr>
        <w:pStyle w:val="ListParagraph"/>
        <w:ind w:left="0"/>
        <w:rPr>
          <w:i/>
          <w:u w:val="single"/>
        </w:rPr>
      </w:pPr>
      <w:r w:rsidRPr="009E0250">
        <w:rPr>
          <w:i/>
          <w:u w:val="single"/>
        </w:rPr>
        <w:t>tehnička organizacija</w:t>
      </w:r>
    </w:p>
    <w:p w:rsidR="009E0250" w:rsidRDefault="009E0250" w:rsidP="009E0250">
      <w:pPr>
        <w:pStyle w:val="ListParagraph"/>
        <w:numPr>
          <w:ilvl w:val="0"/>
          <w:numId w:val="14"/>
        </w:numPr>
      </w:pPr>
      <w:r>
        <w:t>priprema norme i ostalih ETSI dokumenata</w:t>
      </w:r>
    </w:p>
    <w:p w:rsidR="009E0250" w:rsidRDefault="009E0250" w:rsidP="009E0250">
      <w:pPr>
        <w:pStyle w:val="ListParagraph"/>
        <w:numPr>
          <w:ilvl w:val="0"/>
          <w:numId w:val="14"/>
        </w:numPr>
      </w:pPr>
      <w:r>
        <w:t>ustanovljavanje radnih grupa (eng. Working Group)</w:t>
      </w:r>
    </w:p>
    <w:p w:rsidR="009E0250" w:rsidRDefault="009E0250" w:rsidP="009E0250">
      <w:pPr>
        <w:pStyle w:val="ListParagraph"/>
      </w:pPr>
    </w:p>
    <w:p w:rsidR="009E0250" w:rsidRDefault="009E0250" w:rsidP="009E0250">
      <w:pPr>
        <w:pStyle w:val="ListParagraph"/>
        <w:numPr>
          <w:ilvl w:val="0"/>
          <w:numId w:val="14"/>
        </w:numPr>
      </w:pPr>
      <w:r w:rsidRPr="009E0250">
        <w:lastRenderedPageBreak/>
        <w:t>tri tipa tijela tehničkih tijela:</w:t>
      </w:r>
      <w:r>
        <w:t xml:space="preserve">    ETSI tehnički odbori (TO)</w:t>
      </w:r>
    </w:p>
    <w:p w:rsidR="009E0250" w:rsidRDefault="009E0250" w:rsidP="009E0250">
      <w:pPr>
        <w:pStyle w:val="ListParagraph"/>
      </w:pPr>
      <w:r>
        <w:t xml:space="preserve">                                                       ETSI projekti (EP)</w:t>
      </w:r>
    </w:p>
    <w:p w:rsidR="009E0250" w:rsidRDefault="009E0250" w:rsidP="009E0250">
      <w:pPr>
        <w:pStyle w:val="ListParagraph"/>
      </w:pPr>
      <w:r>
        <w:t xml:space="preserve">                                                       ETSI partnerski projekti (EPP)</w:t>
      </w:r>
    </w:p>
    <w:p w:rsidR="009E0250" w:rsidRDefault="009E0250" w:rsidP="009E0250">
      <w:pPr>
        <w:pStyle w:val="ListParagraph"/>
      </w:pPr>
    </w:p>
    <w:p w:rsidR="009E0250" w:rsidRDefault="009E0250" w:rsidP="009E0250">
      <w:pPr>
        <w:pStyle w:val="ListParagraph"/>
        <w:numPr>
          <w:ilvl w:val="0"/>
          <w:numId w:val="15"/>
        </w:numPr>
      </w:pPr>
      <w:r w:rsidRPr="009E0250">
        <w:rPr>
          <w:u w:val="single"/>
        </w:rPr>
        <w:t>Tehnički odbori, TO</w:t>
      </w:r>
      <w:r>
        <w:rPr>
          <w:u w:val="single"/>
        </w:rPr>
        <w:t>:</w:t>
      </w:r>
      <w:r>
        <w:t xml:space="preserve"> rješavanje većeg broja pitanja adresira se specifično tehnološko                 </w:t>
      </w:r>
      <w:r>
        <w:tab/>
      </w:r>
      <w:r>
        <w:tab/>
        <w:t xml:space="preserve">         područje, koje moţe pridonijeti više od jednom tehničkom tijelu </w:t>
      </w:r>
      <w:r>
        <w:tab/>
      </w:r>
      <w:r>
        <w:tab/>
        <w:t xml:space="preserve">          u njegovom kontinuiranom radu (16 tehnickih odbora)</w:t>
      </w:r>
    </w:p>
    <w:p w:rsidR="004E6B89" w:rsidRDefault="004E6B89" w:rsidP="004E6B89">
      <w:pPr>
        <w:pStyle w:val="ListParagraph"/>
        <w:ind w:left="1440"/>
      </w:pPr>
    </w:p>
    <w:p w:rsidR="009E0250" w:rsidRDefault="009E0250" w:rsidP="009E0250">
      <w:pPr>
        <w:pStyle w:val="ListParagraph"/>
        <w:numPr>
          <w:ilvl w:val="0"/>
          <w:numId w:val="15"/>
        </w:numPr>
      </w:pPr>
      <w:r w:rsidRPr="009E0250">
        <w:rPr>
          <w:u w:val="single"/>
        </w:rPr>
        <w:t>ETSI projekti, EP</w:t>
      </w:r>
      <w:r>
        <w:t xml:space="preserve">: osnivaju se temeljem zahtjeva odreĎenog trţišnog sektora za dobro </w:t>
      </w:r>
      <w:r>
        <w:tab/>
      </w:r>
      <w:r>
        <w:tab/>
        <w:t xml:space="preserve">  definiranim rezultatom s točno odreĎenim sredstvima i fokusiranim  </w:t>
      </w:r>
      <w:r>
        <w:tab/>
      </w:r>
      <w:r>
        <w:tab/>
        <w:t xml:space="preserve">   radnim točkama u odreĎenom vremenskom razdoblju</w:t>
      </w:r>
    </w:p>
    <w:p w:rsidR="004E6B89" w:rsidRDefault="004E6B89" w:rsidP="004E6B89">
      <w:pPr>
        <w:pStyle w:val="ListParagraph"/>
      </w:pPr>
    </w:p>
    <w:p w:rsidR="004E6B89" w:rsidRDefault="004E6B89" w:rsidP="004E6B89">
      <w:pPr>
        <w:pStyle w:val="ListParagraph"/>
        <w:ind w:left="0"/>
      </w:pPr>
      <w:r w:rsidRPr="004E6B89">
        <w:rPr>
          <w:b/>
        </w:rPr>
        <w:t>ETSI EPP</w:t>
      </w:r>
      <w:r w:rsidRPr="004E6B89">
        <w:rPr>
          <w:b/>
        </w:rPr>
        <w:cr/>
      </w:r>
    </w:p>
    <w:p w:rsidR="004E6B89" w:rsidRDefault="004E6B89" w:rsidP="004E6B89">
      <w:pPr>
        <w:pStyle w:val="ListParagraph"/>
        <w:numPr>
          <w:ilvl w:val="0"/>
          <w:numId w:val="16"/>
        </w:numPr>
      </w:pPr>
      <w:r>
        <w:t>uvjeti nuţne suradnje jednog ili više tijela, gdje se suradnja ne moţe ostvariti unutar EP ili TO, a postoji zahtjev tog sektora trţišta</w:t>
      </w:r>
    </w:p>
    <w:p w:rsidR="004E6B89" w:rsidRDefault="004E6B89" w:rsidP="004E6B89">
      <w:pPr>
        <w:pStyle w:val="ListParagraph"/>
      </w:pPr>
      <w:r>
        <w:t xml:space="preserve">    Partnerski projekt treće generacije, 3GPP</w:t>
      </w:r>
    </w:p>
    <w:p w:rsidR="004E6B89" w:rsidRDefault="004E6B89" w:rsidP="004E6B89">
      <w:pPr>
        <w:pStyle w:val="ListParagraph"/>
      </w:pPr>
      <w:r>
        <w:t xml:space="preserve">   Partnerski projekt javne sigurnosti, MESA</w:t>
      </w:r>
    </w:p>
    <w:p w:rsidR="004E6B89" w:rsidRDefault="004E6B89" w:rsidP="004E6B89">
      <w:pPr>
        <w:pStyle w:val="ListParagraph"/>
      </w:pPr>
    </w:p>
    <w:p w:rsidR="004E6B89" w:rsidRDefault="004E6B89" w:rsidP="004E6B89">
      <w:pPr>
        <w:pStyle w:val="ListParagraph"/>
        <w:ind w:left="0"/>
        <w:rPr>
          <w:b/>
        </w:rPr>
      </w:pPr>
      <w:r w:rsidRPr="004E6B89">
        <w:rPr>
          <w:b/>
        </w:rPr>
        <w:t>ETSI SO</w:t>
      </w:r>
    </w:p>
    <w:p w:rsidR="004E6B89" w:rsidRDefault="004E6B89" w:rsidP="004E6B89">
      <w:pPr>
        <w:pStyle w:val="ListParagraph"/>
        <w:ind w:left="0"/>
        <w:rPr>
          <w:b/>
        </w:rPr>
      </w:pPr>
    </w:p>
    <w:p w:rsidR="004E6B89" w:rsidRDefault="004E6B89" w:rsidP="004E6B89">
      <w:pPr>
        <w:pStyle w:val="ListParagraph"/>
        <w:numPr>
          <w:ilvl w:val="0"/>
          <w:numId w:val="16"/>
        </w:numPr>
      </w:pPr>
      <w:r w:rsidRPr="004E6B89">
        <w:t>Intelektualno vlasništvo –Intellectual Property Rights (IPRs)</w:t>
      </w:r>
    </w:p>
    <w:p w:rsidR="004E6B89" w:rsidRDefault="004E6B89" w:rsidP="004E6B89">
      <w:pPr>
        <w:pStyle w:val="ListParagraph"/>
      </w:pPr>
    </w:p>
    <w:p w:rsidR="004E6B89" w:rsidRDefault="004E6B89" w:rsidP="004E6B89">
      <w:pPr>
        <w:pStyle w:val="ListParagraph"/>
      </w:pPr>
    </w:p>
    <w:p w:rsidR="004E6B89" w:rsidRDefault="004E6B89" w:rsidP="004E6B89">
      <w:pPr>
        <w:pStyle w:val="ListParagraph"/>
      </w:pPr>
      <w:r w:rsidRPr="004E6B89">
        <w:t>Specijalni odbori</w:t>
      </w:r>
      <w:r>
        <w:t xml:space="preserve">:  </w:t>
      </w:r>
    </w:p>
    <w:p w:rsidR="004E6B89" w:rsidRDefault="004E6B89" w:rsidP="004E6B89">
      <w:pPr>
        <w:pStyle w:val="ListParagraph"/>
        <w:numPr>
          <w:ilvl w:val="0"/>
          <w:numId w:val="16"/>
        </w:numPr>
      </w:pPr>
      <w:r>
        <w:t>forum za koordinaciju različitih aktivnosti za meĎunarodne marketinške i promocijske aktivnosti, IMPACT</w:t>
      </w:r>
    </w:p>
    <w:p w:rsidR="004E6B89" w:rsidRDefault="004E6B89" w:rsidP="004E6B89">
      <w:pPr>
        <w:pStyle w:val="ListParagraph"/>
      </w:pPr>
      <w:r>
        <w:t>za pomoć i savjet u gospodarenju financijama ETSI, FC</w:t>
      </w:r>
    </w:p>
    <w:p w:rsidR="004E6B89" w:rsidRDefault="004E6B89" w:rsidP="004E6B89">
      <w:pPr>
        <w:pStyle w:val="ListParagraph"/>
      </w:pPr>
      <w:r>
        <w:t>za koordinaciju ETSI i ECMA, JEEC</w:t>
      </w:r>
    </w:p>
    <w:p w:rsidR="004E6B89" w:rsidRDefault="004E6B89" w:rsidP="004E6B89">
      <w:pPr>
        <w:pStyle w:val="ListParagraph"/>
      </w:pPr>
      <w:r>
        <w:t>za koordinaciju TO/EP i izmeĎu tehničkih tijela i sekretarijata, OCG</w:t>
      </w:r>
    </w:p>
    <w:p w:rsidR="004E6B89" w:rsidRDefault="004E6B89" w:rsidP="004E6B89">
      <w:pPr>
        <w:pStyle w:val="ListParagraph"/>
      </w:pPr>
      <w:r>
        <w:t xml:space="preserve">za izradu ETSI izvješća, koji sadrţe tajne specifikacije u području </w:t>
      </w:r>
    </w:p>
    <w:p w:rsidR="004E6B89" w:rsidRDefault="004E6B89" w:rsidP="004E6B89">
      <w:pPr>
        <w:pStyle w:val="ListParagraph"/>
      </w:pPr>
      <w:r>
        <w:t xml:space="preserve">kriptografskih algoritama i protokola/neautorizirani pristup javnim/privatnim </w:t>
      </w:r>
    </w:p>
    <w:p w:rsidR="004E6B89" w:rsidRDefault="004E6B89" w:rsidP="004E6B89">
      <w:pPr>
        <w:pStyle w:val="ListParagraph"/>
      </w:pPr>
      <w:r>
        <w:t>telekomunikacijskim mreţama i korisničkim podatcima, SAGE</w:t>
      </w:r>
    </w:p>
    <w:p w:rsidR="004E6B89" w:rsidRDefault="004E6B89" w:rsidP="004E6B89">
      <w:pPr>
        <w:pStyle w:val="ListParagraph"/>
      </w:pPr>
      <w:r>
        <w:t xml:space="preserve">za pripremu izvješća o korisničkim zahtjevima, definiranim od strane te </w:t>
      </w:r>
    </w:p>
    <w:p w:rsidR="004E6B89" w:rsidRDefault="004E6B89" w:rsidP="004E6B89">
      <w:pPr>
        <w:pStyle w:val="ListParagraph"/>
      </w:pPr>
      <w:r>
        <w:t xml:space="preserve">grupe ili od drugog ETSI tijela, kao i za komunikaciju izmeĎu korisnika i </w:t>
      </w:r>
    </w:p>
    <w:p w:rsidR="004E6B89" w:rsidRPr="004E6B89" w:rsidRDefault="004E6B89" w:rsidP="004E6B89">
      <w:pPr>
        <w:pStyle w:val="ListParagraph"/>
      </w:pPr>
      <w:r>
        <w:t>ETSI, USER</w:t>
      </w:r>
    </w:p>
    <w:sectPr w:rsidR="004E6B89" w:rsidRPr="004E6B89" w:rsidSect="00E87A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604B2"/>
    <w:multiLevelType w:val="hybridMultilevel"/>
    <w:tmpl w:val="C472EB0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10812"/>
    <w:multiLevelType w:val="hybridMultilevel"/>
    <w:tmpl w:val="4002E7B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F367B"/>
    <w:multiLevelType w:val="hybridMultilevel"/>
    <w:tmpl w:val="E8F22B7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05C17"/>
    <w:multiLevelType w:val="hybridMultilevel"/>
    <w:tmpl w:val="6CE2A0F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07A0741"/>
    <w:multiLevelType w:val="hybridMultilevel"/>
    <w:tmpl w:val="FC78309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2A1A57"/>
    <w:multiLevelType w:val="hybridMultilevel"/>
    <w:tmpl w:val="44CCA3D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A95D87"/>
    <w:multiLevelType w:val="hybridMultilevel"/>
    <w:tmpl w:val="6C7AF5F4"/>
    <w:lvl w:ilvl="0" w:tplc="0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20561F8"/>
    <w:multiLevelType w:val="hybridMultilevel"/>
    <w:tmpl w:val="6ABC0DC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C30ECF"/>
    <w:multiLevelType w:val="hybridMultilevel"/>
    <w:tmpl w:val="67D4B22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80228D"/>
    <w:multiLevelType w:val="hybridMultilevel"/>
    <w:tmpl w:val="070842A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AB81F70"/>
    <w:multiLevelType w:val="hybridMultilevel"/>
    <w:tmpl w:val="8556C794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051ED8"/>
    <w:multiLevelType w:val="hybridMultilevel"/>
    <w:tmpl w:val="3DC0578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4F215C"/>
    <w:multiLevelType w:val="hybridMultilevel"/>
    <w:tmpl w:val="0582C878"/>
    <w:lvl w:ilvl="0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7C04B6E"/>
    <w:multiLevelType w:val="hybridMultilevel"/>
    <w:tmpl w:val="813A0AB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D01008"/>
    <w:multiLevelType w:val="hybridMultilevel"/>
    <w:tmpl w:val="6B4E31EC"/>
    <w:lvl w:ilvl="0" w:tplc="B4467A12">
      <w:start w:val="31"/>
      <w:numFmt w:val="decimal"/>
      <w:lvlText w:val="%1"/>
      <w:lvlJc w:val="left"/>
      <w:pPr>
        <w:ind w:left="141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130" w:hanging="360"/>
      </w:pPr>
    </w:lvl>
    <w:lvl w:ilvl="2" w:tplc="041A001B" w:tentative="1">
      <w:start w:val="1"/>
      <w:numFmt w:val="lowerRoman"/>
      <w:lvlText w:val="%3."/>
      <w:lvlJc w:val="right"/>
      <w:pPr>
        <w:ind w:left="2850" w:hanging="180"/>
      </w:pPr>
    </w:lvl>
    <w:lvl w:ilvl="3" w:tplc="041A000F" w:tentative="1">
      <w:start w:val="1"/>
      <w:numFmt w:val="decimal"/>
      <w:lvlText w:val="%4."/>
      <w:lvlJc w:val="left"/>
      <w:pPr>
        <w:ind w:left="3570" w:hanging="360"/>
      </w:pPr>
    </w:lvl>
    <w:lvl w:ilvl="4" w:tplc="041A0019" w:tentative="1">
      <w:start w:val="1"/>
      <w:numFmt w:val="lowerLetter"/>
      <w:lvlText w:val="%5."/>
      <w:lvlJc w:val="left"/>
      <w:pPr>
        <w:ind w:left="4290" w:hanging="360"/>
      </w:pPr>
    </w:lvl>
    <w:lvl w:ilvl="5" w:tplc="041A001B" w:tentative="1">
      <w:start w:val="1"/>
      <w:numFmt w:val="lowerRoman"/>
      <w:lvlText w:val="%6."/>
      <w:lvlJc w:val="right"/>
      <w:pPr>
        <w:ind w:left="5010" w:hanging="180"/>
      </w:pPr>
    </w:lvl>
    <w:lvl w:ilvl="6" w:tplc="041A000F" w:tentative="1">
      <w:start w:val="1"/>
      <w:numFmt w:val="decimal"/>
      <w:lvlText w:val="%7."/>
      <w:lvlJc w:val="left"/>
      <w:pPr>
        <w:ind w:left="5730" w:hanging="360"/>
      </w:pPr>
    </w:lvl>
    <w:lvl w:ilvl="7" w:tplc="041A0019" w:tentative="1">
      <w:start w:val="1"/>
      <w:numFmt w:val="lowerLetter"/>
      <w:lvlText w:val="%8."/>
      <w:lvlJc w:val="left"/>
      <w:pPr>
        <w:ind w:left="6450" w:hanging="360"/>
      </w:pPr>
    </w:lvl>
    <w:lvl w:ilvl="8" w:tplc="041A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5">
    <w:nsid w:val="7EF42A98"/>
    <w:multiLevelType w:val="hybridMultilevel"/>
    <w:tmpl w:val="5DE44A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8"/>
  </w:num>
  <w:num w:numId="5">
    <w:abstractNumId w:val="13"/>
  </w:num>
  <w:num w:numId="6">
    <w:abstractNumId w:val="6"/>
  </w:num>
  <w:num w:numId="7">
    <w:abstractNumId w:val="12"/>
  </w:num>
  <w:num w:numId="8">
    <w:abstractNumId w:val="2"/>
  </w:num>
  <w:num w:numId="9">
    <w:abstractNumId w:val="9"/>
  </w:num>
  <w:num w:numId="10">
    <w:abstractNumId w:val="5"/>
  </w:num>
  <w:num w:numId="11">
    <w:abstractNumId w:val="10"/>
  </w:num>
  <w:num w:numId="12">
    <w:abstractNumId w:val="0"/>
  </w:num>
  <w:num w:numId="13">
    <w:abstractNumId w:val="4"/>
  </w:num>
  <w:num w:numId="14">
    <w:abstractNumId w:val="1"/>
  </w:num>
  <w:num w:numId="15">
    <w:abstractNumId w:val="3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871CF"/>
    <w:rsid w:val="004E6B89"/>
    <w:rsid w:val="009E0250"/>
    <w:rsid w:val="00A43AAD"/>
    <w:rsid w:val="00E87A48"/>
    <w:rsid w:val="00F87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A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1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E963B-F760-42A9-A32C-3749BCC10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</cp:revision>
  <dcterms:created xsi:type="dcterms:W3CDTF">2011-05-08T18:37:00Z</dcterms:created>
  <dcterms:modified xsi:type="dcterms:W3CDTF">2011-05-08T19:29:00Z</dcterms:modified>
</cp:coreProperties>
</file>