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998" w:rsidRPr="00B6440F" w:rsidRDefault="00B6440F" w:rsidP="00B6440F">
      <w:pPr>
        <w:jc w:val="center"/>
        <w:rPr>
          <w:sz w:val="36"/>
        </w:rPr>
      </w:pPr>
      <w:r w:rsidRPr="00B6440F">
        <w:rPr>
          <w:sz w:val="36"/>
        </w:rPr>
        <w:t>Josip Spajić</w:t>
      </w:r>
    </w:p>
    <w:p w:rsidR="00B6440F" w:rsidRDefault="00B6440F" w:rsidP="00B6440F">
      <w:pPr>
        <w:jc w:val="center"/>
      </w:pPr>
    </w:p>
    <w:p w:rsidR="00B6440F" w:rsidRDefault="00B6440F" w:rsidP="00B6440F">
      <w:pPr>
        <w:jc w:val="center"/>
      </w:pPr>
    </w:p>
    <w:p w:rsidR="00B6440F" w:rsidRDefault="00B6440F" w:rsidP="00B6440F">
      <w:pPr>
        <w:jc w:val="center"/>
      </w:pPr>
    </w:p>
    <w:p w:rsidR="00B6440F" w:rsidRDefault="00B6440F" w:rsidP="00B6440F">
      <w:pPr>
        <w:jc w:val="center"/>
      </w:pPr>
    </w:p>
    <w:p w:rsidR="00B6440F" w:rsidRDefault="00B6440F" w:rsidP="00B6440F">
      <w:pPr>
        <w:jc w:val="center"/>
      </w:pPr>
    </w:p>
    <w:p w:rsidR="00B6440F" w:rsidRDefault="00B6440F" w:rsidP="00B6440F">
      <w:pPr>
        <w:jc w:val="center"/>
      </w:pPr>
    </w:p>
    <w:p w:rsidR="00B6440F" w:rsidRPr="00B6440F" w:rsidRDefault="00B6440F" w:rsidP="00B6440F">
      <w:pPr>
        <w:jc w:val="center"/>
        <w:rPr>
          <w:b/>
          <w:sz w:val="56"/>
        </w:rPr>
      </w:pPr>
      <w:r w:rsidRPr="00B6440F">
        <w:rPr>
          <w:b/>
          <w:sz w:val="56"/>
        </w:rPr>
        <w:t>ANALIZA UGOVORA O KUPOPRODAJI</w:t>
      </w:r>
    </w:p>
    <w:p w:rsidR="00B6440F" w:rsidRDefault="00B6440F" w:rsidP="00B6440F">
      <w:pPr>
        <w:jc w:val="center"/>
      </w:pPr>
    </w:p>
    <w:p w:rsidR="00B6440F" w:rsidRDefault="00B6440F" w:rsidP="00B6440F">
      <w:pPr>
        <w:jc w:val="center"/>
        <w:rPr>
          <w:sz w:val="40"/>
        </w:rPr>
      </w:pPr>
      <w:r w:rsidRPr="00B6440F">
        <w:rPr>
          <w:sz w:val="40"/>
        </w:rPr>
        <w:t>SEMINARSKI RAD</w:t>
      </w:r>
    </w:p>
    <w:p w:rsidR="00B6440F" w:rsidRPr="00B6440F" w:rsidRDefault="00B6440F" w:rsidP="00B6440F">
      <w:pPr>
        <w:jc w:val="center"/>
        <w:rPr>
          <w:sz w:val="40"/>
        </w:rPr>
      </w:pPr>
    </w:p>
    <w:p w:rsidR="00B6440F" w:rsidRDefault="00B6440F" w:rsidP="00B6440F">
      <w:pPr>
        <w:jc w:val="center"/>
      </w:pPr>
    </w:p>
    <w:p w:rsidR="00B6440F" w:rsidRPr="00B6440F" w:rsidRDefault="00B6440F" w:rsidP="00B6440F">
      <w:pPr>
        <w:jc w:val="center"/>
        <w:rPr>
          <w:sz w:val="36"/>
        </w:rPr>
      </w:pPr>
      <w:r w:rsidRPr="00B6440F">
        <w:rPr>
          <w:sz w:val="36"/>
        </w:rPr>
        <w:t>Sveučilište u Zagrebu</w:t>
      </w:r>
    </w:p>
    <w:p w:rsidR="00B6440F" w:rsidRPr="00B6440F" w:rsidRDefault="00B6440F" w:rsidP="00B6440F">
      <w:pPr>
        <w:jc w:val="center"/>
        <w:rPr>
          <w:sz w:val="36"/>
        </w:rPr>
      </w:pPr>
      <w:r w:rsidRPr="00B6440F">
        <w:rPr>
          <w:sz w:val="36"/>
        </w:rPr>
        <w:t>Fakultet elektrotehnike i računarstva – Zagreb</w:t>
      </w:r>
    </w:p>
    <w:p w:rsidR="00B6440F" w:rsidRDefault="00B6440F" w:rsidP="00B6440F">
      <w:pPr>
        <w:jc w:val="center"/>
      </w:pPr>
    </w:p>
    <w:p w:rsidR="00B6440F" w:rsidRDefault="00B6440F" w:rsidP="00B6440F">
      <w:pPr>
        <w:jc w:val="center"/>
      </w:pPr>
    </w:p>
    <w:p w:rsidR="00B6440F" w:rsidRDefault="00B6440F" w:rsidP="00B6440F">
      <w:pPr>
        <w:jc w:val="center"/>
      </w:pPr>
    </w:p>
    <w:p w:rsidR="00B6440F" w:rsidRPr="00B6440F" w:rsidRDefault="00B6440F" w:rsidP="00B6440F">
      <w:pPr>
        <w:rPr>
          <w:sz w:val="32"/>
        </w:rPr>
      </w:pPr>
      <w:r w:rsidRPr="00B6440F">
        <w:rPr>
          <w:sz w:val="32"/>
        </w:rPr>
        <w:t>Kolegij: Trgovačko pravo</w:t>
      </w:r>
    </w:p>
    <w:p w:rsidR="00B6440F" w:rsidRPr="00B6440F" w:rsidRDefault="00B6440F" w:rsidP="00B6440F">
      <w:pPr>
        <w:rPr>
          <w:sz w:val="32"/>
        </w:rPr>
      </w:pPr>
      <w:r w:rsidRPr="00B6440F">
        <w:rPr>
          <w:sz w:val="32"/>
        </w:rPr>
        <w:t xml:space="preserve">Mentor: </w:t>
      </w:r>
      <w:r w:rsidR="00285A1E">
        <w:rPr>
          <w:sz w:val="32"/>
        </w:rPr>
        <w:t xml:space="preserve"> </w:t>
      </w:r>
      <w:r w:rsidRPr="00B6440F">
        <w:rPr>
          <w:sz w:val="32"/>
        </w:rPr>
        <w:t>-</w:t>
      </w:r>
    </w:p>
    <w:p w:rsidR="00B6440F" w:rsidRDefault="00B6440F" w:rsidP="00B6440F">
      <w:pPr>
        <w:rPr>
          <w:sz w:val="32"/>
        </w:rPr>
      </w:pPr>
      <w:r w:rsidRPr="00B6440F">
        <w:rPr>
          <w:sz w:val="32"/>
        </w:rPr>
        <w:t>JMBAG: 0036463980</w:t>
      </w:r>
    </w:p>
    <w:p w:rsidR="00B6440F" w:rsidRPr="00B6440F" w:rsidRDefault="00B6440F" w:rsidP="00B6440F">
      <w:pPr>
        <w:rPr>
          <w:sz w:val="32"/>
        </w:rPr>
      </w:pPr>
    </w:p>
    <w:p w:rsidR="00B6440F" w:rsidRDefault="00B6440F" w:rsidP="00B6440F">
      <w:pPr>
        <w:jc w:val="center"/>
        <w:rPr>
          <w:sz w:val="32"/>
        </w:rPr>
      </w:pPr>
      <w:r w:rsidRPr="00B6440F">
        <w:rPr>
          <w:sz w:val="32"/>
        </w:rPr>
        <w:lastRenderedPageBreak/>
        <w:t>Zagreb, travanj 2014</w:t>
      </w:r>
    </w:p>
    <w:p w:rsidR="00BE350A" w:rsidRDefault="00743929">
      <w:pPr>
        <w:rPr>
          <w:sz w:val="40"/>
        </w:rPr>
      </w:pPr>
      <w:r w:rsidRPr="00743929">
        <w:rPr>
          <w:sz w:val="40"/>
          <w:lang w:eastAsia="hr-HR"/>
        </w:rPr>
        <mc:AlternateContent>
          <mc:Choice Requires="wps">
            <w:drawing>
              <wp:anchor distT="0" distB="0" distL="114300" distR="114300" simplePos="0" relativeHeight="251661312" behindDoc="0" locked="0" layoutInCell="1" allowOverlap="1" wp14:editId="36B11C9B">
                <wp:simplePos x="0" y="0"/>
                <wp:positionH relativeFrom="column">
                  <wp:posOffset>1327785</wp:posOffset>
                </wp:positionH>
                <wp:positionV relativeFrom="paragraph">
                  <wp:posOffset>3453097</wp:posOffset>
                </wp:positionV>
                <wp:extent cx="3179928" cy="1403985"/>
                <wp:effectExtent l="0" t="0" r="20955" b="114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928" cy="1403985"/>
                        </a:xfrm>
                        <a:prstGeom prst="rect">
                          <a:avLst/>
                        </a:prstGeom>
                        <a:solidFill>
                          <a:srgbClr val="FFFFFF"/>
                        </a:solidFill>
                        <a:ln w="9525">
                          <a:solidFill>
                            <a:schemeClr val="bg1"/>
                          </a:solidFill>
                          <a:miter lim="800000"/>
                          <a:headEnd/>
                          <a:tailEnd/>
                        </a:ln>
                      </wps:spPr>
                      <wps:txbx>
                        <w:txbxContent>
                          <w:p w:rsidR="00743929" w:rsidRPr="00DC6B2F" w:rsidRDefault="00743929" w:rsidP="00DC6B2F">
                            <w:pPr>
                              <w:jc w:val="center"/>
                              <w:rPr>
                                <w:color w:val="A6A6A6" w:themeColor="background1" w:themeShade="A6"/>
                                <w:sz w:val="48"/>
                              </w:rPr>
                            </w:pPr>
                            <w:r w:rsidRPr="00DC6B2F">
                              <w:rPr>
                                <w:color w:val="A6A6A6" w:themeColor="background1" w:themeShade="A6"/>
                                <w:sz w:val="48"/>
                              </w:rPr>
                              <w:t>PRAZNA STRANICA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4.55pt;margin-top:271.9pt;width:250.4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" strokecolor="white [3212]">
                <v:textbox style="mso-fit-shape-to-text:t">
                  <w:txbxContent>
                    <w:p w:rsidR="00743929" w:rsidRPr="00DC6B2F" w:rsidRDefault="00743929" w:rsidP="00DC6B2F">
                      <w:pPr>
                        <w:jc w:val="center"/>
                        <w:rPr>
                          <w:color w:val="A6A6A6" w:themeColor="background1" w:themeShade="A6"/>
                          <w:sz w:val="48"/>
                        </w:rPr>
                      </w:pPr>
                      <w:r w:rsidRPr="00DC6B2F">
                        <w:rPr>
                          <w:color w:val="A6A6A6" w:themeColor="background1" w:themeShade="A6"/>
                          <w:sz w:val="48"/>
                        </w:rPr>
                        <w:t>PRAZNA STRANICA</w:t>
                      </w:r>
                    </w:p>
                  </w:txbxContent>
                </v:textbox>
              </v:shape>
            </w:pict>
          </mc:Fallback>
        </mc:AlternateContent>
      </w:r>
      <w:r w:rsidR="00BE350A">
        <w:rPr>
          <w:sz w:val="40"/>
        </w:rPr>
        <w:br w:type="page"/>
      </w:r>
    </w:p>
    <w:p w:rsidR="00B6440F" w:rsidRPr="00B6440F" w:rsidRDefault="00B6440F" w:rsidP="00B6440F">
      <w:pPr>
        <w:jc w:val="center"/>
        <w:rPr>
          <w:sz w:val="40"/>
        </w:rPr>
      </w:pPr>
      <w:r w:rsidRPr="00B6440F">
        <w:rPr>
          <w:sz w:val="40"/>
        </w:rPr>
        <w:lastRenderedPageBreak/>
        <w:t>PREDGOVOR</w:t>
      </w:r>
    </w:p>
    <w:p w:rsidR="00B6440F" w:rsidRDefault="00B6440F" w:rsidP="00B6440F">
      <w:pPr>
        <w:jc w:val="center"/>
        <w:rPr>
          <w:sz w:val="32"/>
        </w:rPr>
      </w:pPr>
    </w:p>
    <w:p w:rsidR="008A7630" w:rsidRDefault="00B6440F" w:rsidP="008A7630">
      <w:r>
        <w:t xml:space="preserve">Ovaj seminar izrađen je </w:t>
      </w:r>
      <w:r w:rsidR="008A7630">
        <w:t xml:space="preserve">u žurbi i uz jako slabu razinu informiranosti o samom kolegiju s obzirom da su predavanja neobavezna, popute većine studenata, tako i autor ovog djela također nije bio prisutan niti na jednom predavanju iz kolegija Trgovačko pravo. Uputstva i smjernice za izradu rada su jako štura, pa je najveća pomoć u izradi bio forum fer2net, te neizostavni Google, kojima se ovima putem zahvaljujem, jer u uputama za izradu piše da se u predgovoru nekome mora zahvaliti. Želio bih se zahvaliti i kolegi koji mi nije htio poslati svoj rad, koji mu je sestra napravila, da barem vidim kako to treba izgledati, te me na taj način prisilio da sam napravim sve i zapravo nešto korisno ovim putem i naučim. </w:t>
      </w:r>
    </w:p>
    <w:p w:rsidR="00C93BDA" w:rsidRDefault="008A7630">
      <w:pPr>
        <w:sectPr w:rsidR="00C93BDA" w:rsidSect="00285A1E">
          <w:footerReference w:type="default" r:id="rId9"/>
          <w:pgSz w:w="11906" w:h="16838"/>
          <w:pgMar w:top="1417" w:right="1417" w:bottom="1417" w:left="1417" w:header="708" w:footer="708" w:gutter="0"/>
          <w:pgNumType w:fmt="lowerRoman"/>
          <w:cols w:space="708"/>
          <w:titlePg/>
          <w:docGrid w:linePitch="381"/>
        </w:sectPr>
      </w:pPr>
      <w:r>
        <w:br w:type="page"/>
      </w:r>
    </w:p>
    <w:p w:rsidR="008A7630" w:rsidRDefault="008A7630"/>
    <w:p w:rsidR="008A7630" w:rsidRDefault="00BE350A" w:rsidP="00BE350A">
      <w:pPr>
        <w:jc w:val="center"/>
        <w:rPr>
          <w:sz w:val="40"/>
        </w:rPr>
      </w:pPr>
      <w:r>
        <w:rPr>
          <w:sz w:val="40"/>
        </w:rPr>
        <w:t>SADRŽAJ</w:t>
      </w:r>
    </w:p>
    <w:p w:rsidR="00285A1E" w:rsidRDefault="00285A1E">
      <w:pPr>
        <w:pStyle w:val="TOC1"/>
        <w:tabs>
          <w:tab w:val="right" w:leader="dot" w:pos="9062"/>
        </w:tabs>
        <w:rPr>
          <w:rFonts w:eastAsiaTheme="minorEastAsia"/>
          <w:sz w:val="22"/>
          <w:lang w:eastAsia="hr-HR"/>
        </w:rPr>
      </w:pPr>
      <w:r>
        <w:rPr>
          <w:sz w:val="40"/>
        </w:rPr>
        <w:fldChar w:fldCharType="begin"/>
      </w:r>
      <w:r>
        <w:rPr>
          <w:sz w:val="40"/>
        </w:rPr>
        <w:instrText xml:space="preserve"> TOC \o "1-3" \u </w:instrText>
      </w:r>
      <w:r>
        <w:rPr>
          <w:sz w:val="40"/>
        </w:rPr>
        <w:fldChar w:fldCharType="separate"/>
      </w:r>
      <w:r>
        <w:t>1.UVOD</w:t>
      </w:r>
      <w:r>
        <w:tab/>
      </w:r>
      <w:r>
        <w:fldChar w:fldCharType="begin"/>
      </w:r>
      <w:r>
        <w:instrText xml:space="preserve"> PAGEREF _Toc385175771 \h </w:instrText>
      </w:r>
      <w:r>
        <w:fldChar w:fldCharType="separate"/>
      </w:r>
      <w:r>
        <w:t>5</w:t>
      </w:r>
      <w:r>
        <w:fldChar w:fldCharType="end"/>
      </w:r>
    </w:p>
    <w:p w:rsidR="00285A1E" w:rsidRDefault="00285A1E">
      <w:pPr>
        <w:pStyle w:val="TOC2"/>
        <w:tabs>
          <w:tab w:val="right" w:leader="dot" w:pos="9062"/>
        </w:tabs>
        <w:rPr>
          <w:rFonts w:eastAsiaTheme="minorEastAsia"/>
          <w:sz w:val="22"/>
          <w:lang w:eastAsia="hr-HR"/>
        </w:rPr>
      </w:pPr>
      <w:r>
        <w:t>1.1 Predmet i cilj rada</w:t>
      </w:r>
      <w:r>
        <w:tab/>
      </w:r>
      <w:r>
        <w:fldChar w:fldCharType="begin"/>
      </w:r>
      <w:r>
        <w:instrText xml:space="preserve"> PAGEREF _Toc385175772 \h </w:instrText>
      </w:r>
      <w:r>
        <w:fldChar w:fldCharType="separate"/>
      </w:r>
      <w:r>
        <w:t>5</w:t>
      </w:r>
      <w:r>
        <w:fldChar w:fldCharType="end"/>
      </w:r>
    </w:p>
    <w:p w:rsidR="00285A1E" w:rsidRDefault="00285A1E">
      <w:pPr>
        <w:pStyle w:val="TOC2"/>
        <w:tabs>
          <w:tab w:val="right" w:leader="dot" w:pos="9062"/>
        </w:tabs>
        <w:rPr>
          <w:rFonts w:eastAsiaTheme="minorEastAsia"/>
          <w:sz w:val="22"/>
          <w:lang w:eastAsia="hr-HR"/>
        </w:rPr>
      </w:pPr>
      <w:r>
        <w:t>1.2 Izvori podataka i metode prikupljanja</w:t>
      </w:r>
      <w:r>
        <w:tab/>
      </w:r>
      <w:r>
        <w:fldChar w:fldCharType="begin"/>
      </w:r>
      <w:r>
        <w:instrText xml:space="preserve"> PAGEREF _Toc385175773 \h </w:instrText>
      </w:r>
      <w:r>
        <w:fldChar w:fldCharType="separate"/>
      </w:r>
      <w:r>
        <w:t>5</w:t>
      </w:r>
      <w:r>
        <w:fldChar w:fldCharType="end"/>
      </w:r>
    </w:p>
    <w:p w:rsidR="00285A1E" w:rsidRDefault="00285A1E">
      <w:pPr>
        <w:pStyle w:val="TOC1"/>
        <w:tabs>
          <w:tab w:val="right" w:leader="dot" w:pos="9062"/>
        </w:tabs>
        <w:rPr>
          <w:rFonts w:eastAsiaTheme="minorEastAsia"/>
          <w:sz w:val="22"/>
          <w:lang w:eastAsia="hr-HR"/>
        </w:rPr>
      </w:pPr>
      <w:r>
        <w:t>2. ANALIZA UGOVORA</w:t>
      </w:r>
      <w:r>
        <w:tab/>
      </w:r>
      <w:r>
        <w:fldChar w:fldCharType="begin"/>
      </w:r>
      <w:r>
        <w:instrText xml:space="preserve"> PAGEREF _Toc385175774 \h </w:instrText>
      </w:r>
      <w:r>
        <w:fldChar w:fldCharType="separate"/>
      </w:r>
      <w:r>
        <w:t>6</w:t>
      </w:r>
      <w:r>
        <w:fldChar w:fldCharType="end"/>
      </w:r>
    </w:p>
    <w:p w:rsidR="00285A1E" w:rsidRDefault="00285A1E">
      <w:pPr>
        <w:pStyle w:val="TOC2"/>
        <w:tabs>
          <w:tab w:val="right" w:leader="dot" w:pos="9062"/>
        </w:tabs>
        <w:rPr>
          <w:rFonts w:eastAsiaTheme="minorEastAsia"/>
          <w:sz w:val="22"/>
          <w:lang w:eastAsia="hr-HR"/>
        </w:rPr>
      </w:pPr>
      <w:r>
        <w:t>2.1 Predmet ugovora</w:t>
      </w:r>
      <w:r>
        <w:tab/>
      </w:r>
      <w:r>
        <w:fldChar w:fldCharType="begin"/>
      </w:r>
      <w:r>
        <w:instrText xml:space="preserve"> PAGEREF _Toc385175775 \h </w:instrText>
      </w:r>
      <w:r>
        <w:fldChar w:fldCharType="separate"/>
      </w:r>
      <w:r>
        <w:t>6</w:t>
      </w:r>
      <w:r>
        <w:fldChar w:fldCharType="end"/>
      </w:r>
    </w:p>
    <w:p w:rsidR="00285A1E" w:rsidRDefault="00285A1E">
      <w:pPr>
        <w:pStyle w:val="TOC2"/>
        <w:tabs>
          <w:tab w:val="right" w:leader="dot" w:pos="9062"/>
        </w:tabs>
        <w:rPr>
          <w:rFonts w:eastAsiaTheme="minorEastAsia"/>
          <w:sz w:val="22"/>
          <w:lang w:eastAsia="hr-HR"/>
        </w:rPr>
      </w:pPr>
      <w:r>
        <w:t>2.2 Rokovi isporuke</w:t>
      </w:r>
      <w:r>
        <w:tab/>
      </w:r>
      <w:r>
        <w:fldChar w:fldCharType="begin"/>
      </w:r>
      <w:r>
        <w:instrText xml:space="preserve"> PAGEREF _Toc385175776 \h </w:instrText>
      </w:r>
      <w:r>
        <w:fldChar w:fldCharType="separate"/>
      </w:r>
      <w:r>
        <w:t>7</w:t>
      </w:r>
      <w:r>
        <w:fldChar w:fldCharType="end"/>
      </w:r>
    </w:p>
    <w:p w:rsidR="00285A1E" w:rsidRDefault="00285A1E">
      <w:pPr>
        <w:pStyle w:val="TOC3"/>
        <w:tabs>
          <w:tab w:val="right" w:leader="dot" w:pos="9062"/>
        </w:tabs>
        <w:rPr>
          <w:rFonts w:eastAsiaTheme="minorEastAsia"/>
          <w:sz w:val="22"/>
          <w:lang w:eastAsia="hr-HR"/>
        </w:rPr>
      </w:pPr>
      <w:r>
        <w:t>2.2.1 Ugovorne kazne</w:t>
      </w:r>
      <w:r>
        <w:tab/>
      </w:r>
      <w:r>
        <w:fldChar w:fldCharType="begin"/>
      </w:r>
      <w:r>
        <w:instrText xml:space="preserve"> PAGEREF _Toc385175777 \h </w:instrText>
      </w:r>
      <w:r>
        <w:fldChar w:fldCharType="separate"/>
      </w:r>
      <w:r>
        <w:t>8</w:t>
      </w:r>
      <w:r>
        <w:fldChar w:fldCharType="end"/>
      </w:r>
    </w:p>
    <w:p w:rsidR="00285A1E" w:rsidRDefault="00285A1E">
      <w:pPr>
        <w:pStyle w:val="TOC3"/>
        <w:tabs>
          <w:tab w:val="right" w:leader="dot" w:pos="9062"/>
        </w:tabs>
        <w:rPr>
          <w:rFonts w:eastAsiaTheme="minorEastAsia"/>
          <w:sz w:val="22"/>
          <w:lang w:eastAsia="hr-HR"/>
        </w:rPr>
      </w:pPr>
      <w:r>
        <w:t>2.2.2 Nepredviđene okolnosti (viša sila)</w:t>
      </w:r>
      <w:r>
        <w:tab/>
      </w:r>
      <w:r>
        <w:fldChar w:fldCharType="begin"/>
      </w:r>
      <w:r>
        <w:instrText xml:space="preserve"> PAGEREF _Toc385175778 \h </w:instrText>
      </w:r>
      <w:r>
        <w:fldChar w:fldCharType="separate"/>
      </w:r>
      <w:r>
        <w:t>8</w:t>
      </w:r>
      <w:r>
        <w:fldChar w:fldCharType="end"/>
      </w:r>
    </w:p>
    <w:p w:rsidR="00285A1E" w:rsidRDefault="00285A1E">
      <w:pPr>
        <w:pStyle w:val="TOC2"/>
        <w:tabs>
          <w:tab w:val="right" w:leader="dot" w:pos="9062"/>
        </w:tabs>
        <w:rPr>
          <w:rFonts w:eastAsiaTheme="minorEastAsia"/>
          <w:sz w:val="22"/>
          <w:lang w:eastAsia="hr-HR"/>
        </w:rPr>
      </w:pPr>
      <w:r>
        <w:t>2.3 Cijene</w:t>
      </w:r>
      <w:r>
        <w:tab/>
      </w:r>
      <w:r>
        <w:fldChar w:fldCharType="begin"/>
      </w:r>
      <w:r>
        <w:instrText xml:space="preserve"> PAGEREF _Toc385175779 \h </w:instrText>
      </w:r>
      <w:r>
        <w:fldChar w:fldCharType="separate"/>
      </w:r>
      <w:r>
        <w:t>9</w:t>
      </w:r>
      <w:r>
        <w:fldChar w:fldCharType="end"/>
      </w:r>
    </w:p>
    <w:p w:rsidR="00285A1E" w:rsidRDefault="00285A1E">
      <w:pPr>
        <w:pStyle w:val="TOC3"/>
        <w:tabs>
          <w:tab w:val="right" w:leader="dot" w:pos="9062"/>
        </w:tabs>
        <w:rPr>
          <w:rFonts w:eastAsiaTheme="minorEastAsia"/>
          <w:sz w:val="22"/>
          <w:lang w:eastAsia="hr-HR"/>
        </w:rPr>
      </w:pPr>
      <w:r>
        <w:t>2.3.1 Način plaćanja</w:t>
      </w:r>
      <w:r>
        <w:tab/>
      </w:r>
      <w:r>
        <w:fldChar w:fldCharType="begin"/>
      </w:r>
      <w:r>
        <w:instrText xml:space="preserve"> PAGEREF _Toc385175780 \h </w:instrText>
      </w:r>
      <w:r>
        <w:fldChar w:fldCharType="separate"/>
      </w:r>
      <w:r>
        <w:t>10</w:t>
      </w:r>
      <w:r>
        <w:fldChar w:fldCharType="end"/>
      </w:r>
    </w:p>
    <w:p w:rsidR="00285A1E" w:rsidRDefault="00285A1E">
      <w:pPr>
        <w:pStyle w:val="TOC1"/>
        <w:tabs>
          <w:tab w:val="right" w:leader="dot" w:pos="9062"/>
        </w:tabs>
        <w:rPr>
          <w:rFonts w:eastAsiaTheme="minorEastAsia"/>
          <w:sz w:val="22"/>
          <w:lang w:eastAsia="hr-HR"/>
        </w:rPr>
      </w:pPr>
      <w:r>
        <w:t>3. ZAKLJUČAK</w:t>
      </w:r>
      <w:r>
        <w:tab/>
      </w:r>
      <w:r>
        <w:fldChar w:fldCharType="begin"/>
      </w:r>
      <w:r>
        <w:instrText xml:space="preserve"> PAGEREF _Toc385175781 \h </w:instrText>
      </w:r>
      <w:r>
        <w:fldChar w:fldCharType="separate"/>
      </w:r>
      <w:r>
        <w:t>11</w:t>
      </w:r>
      <w:r>
        <w:fldChar w:fldCharType="end"/>
      </w:r>
    </w:p>
    <w:p w:rsidR="00285A1E" w:rsidRDefault="00285A1E">
      <w:pPr>
        <w:pStyle w:val="TOC1"/>
        <w:tabs>
          <w:tab w:val="right" w:leader="dot" w:pos="9062"/>
        </w:tabs>
        <w:rPr>
          <w:rFonts w:eastAsiaTheme="minorEastAsia"/>
          <w:sz w:val="22"/>
          <w:lang w:eastAsia="hr-HR"/>
        </w:rPr>
      </w:pPr>
      <w:r>
        <w:t>4. LITERATURA</w:t>
      </w:r>
      <w:r>
        <w:tab/>
      </w:r>
      <w:r>
        <w:fldChar w:fldCharType="begin"/>
      </w:r>
      <w:r>
        <w:instrText xml:space="preserve"> PAGEREF _Toc385175782 \h </w:instrText>
      </w:r>
      <w:r>
        <w:fldChar w:fldCharType="separate"/>
      </w:r>
      <w:r>
        <w:t>12</w:t>
      </w:r>
      <w:r>
        <w:fldChar w:fldCharType="end"/>
      </w:r>
    </w:p>
    <w:p w:rsidR="00BE350A" w:rsidRDefault="00285A1E" w:rsidP="00BE350A">
      <w:pPr>
        <w:jc w:val="center"/>
        <w:rPr>
          <w:sz w:val="40"/>
        </w:rPr>
      </w:pPr>
      <w:r>
        <w:rPr>
          <w:sz w:val="40"/>
        </w:rPr>
        <w:fldChar w:fldCharType="end"/>
      </w:r>
    </w:p>
    <w:p w:rsidR="00BE350A" w:rsidRDefault="00BE350A">
      <w:pPr>
        <w:rPr>
          <w:sz w:val="40"/>
        </w:rPr>
      </w:pPr>
      <w:r>
        <w:rPr>
          <w:sz w:val="40"/>
        </w:rPr>
        <w:br w:type="page"/>
      </w:r>
    </w:p>
    <w:p w:rsidR="00521491" w:rsidRDefault="00521491" w:rsidP="00521491">
      <w:pPr>
        <w:pStyle w:val="Heading1"/>
        <w:rPr>
          <w:sz w:val="32"/>
        </w:rPr>
      </w:pPr>
      <w:bookmarkStart w:id="0" w:name="_Toc385175771"/>
      <w:r>
        <w:lastRenderedPageBreak/>
        <w:t>1.</w:t>
      </w:r>
      <w:r w:rsidR="00533344" w:rsidRPr="002D5D54">
        <w:t>UVOD</w:t>
      </w:r>
      <w:bookmarkEnd w:id="0"/>
      <w:r w:rsidR="002D5D54">
        <w:br/>
      </w:r>
    </w:p>
    <w:p w:rsidR="00BE350A" w:rsidRDefault="00533344" w:rsidP="00521491">
      <w:pPr>
        <w:pStyle w:val="Heading1"/>
        <w:rPr>
          <w:sz w:val="32"/>
        </w:rPr>
      </w:pPr>
      <w:r>
        <w:rPr>
          <w:sz w:val="32"/>
        </w:rPr>
        <w:br/>
      </w:r>
    </w:p>
    <w:p w:rsidR="00521491" w:rsidRDefault="00521491" w:rsidP="00521491">
      <w:bookmarkStart w:id="1" w:name="_Toc385175772"/>
      <w:r>
        <w:rPr>
          <w:rStyle w:val="Heading2Char"/>
        </w:rPr>
        <w:t xml:space="preserve">1.1 </w:t>
      </w:r>
      <w:r w:rsidR="002D5D54" w:rsidRPr="00521491">
        <w:rPr>
          <w:rStyle w:val="Heading2Char"/>
        </w:rPr>
        <w:t>Predmet i cilj rada</w:t>
      </w:r>
      <w:bookmarkEnd w:id="1"/>
      <w:r w:rsidR="002D5D54" w:rsidRPr="00521491">
        <w:rPr>
          <w:sz w:val="36"/>
        </w:rPr>
        <w:br/>
      </w:r>
      <w:r w:rsidR="002D5D54" w:rsidRPr="00521491">
        <w:rPr>
          <w:sz w:val="32"/>
        </w:rPr>
        <w:br/>
      </w:r>
      <w:r w:rsidR="002D5D54" w:rsidRPr="00521491">
        <w:t>U ovom radu analizirati ću kupoprodajni ugovor. Ugovor je sklopljen između dvije tvrtke, Končar i Elektrokem, koji su u konzorciju  CROTRAM, radili na proizvodnji opreme i opremanju iste u radu na niskopodnim tramvajima</w:t>
      </w:r>
      <w:r w:rsidR="00AB5647">
        <w:t xml:space="preserve"> za Zagrebački holding</w:t>
      </w:r>
      <w:r w:rsidR="002D5D54" w:rsidRPr="00521491">
        <w:t>. Analizirati ću stavak po stavak ugovora, u skladu sa gradivom i znanjem usvojenim na predavanjima</w:t>
      </w:r>
      <w:r>
        <w:t>.</w:t>
      </w:r>
      <w:r w:rsidR="0014244C">
        <w:t xml:space="preserve"> </w:t>
      </w:r>
      <w:r w:rsidR="0014244C" w:rsidRPr="0014244C">
        <w:t>Naziv ugovora je jednostavno Broj  370 – 2271-024</w:t>
      </w:r>
      <w:r w:rsidR="002D5D54" w:rsidRPr="0014244C">
        <w:br/>
      </w:r>
    </w:p>
    <w:p w:rsidR="00521491" w:rsidRDefault="00521491" w:rsidP="00521491"/>
    <w:p w:rsidR="002D5D54" w:rsidRPr="00521491" w:rsidRDefault="002D5D54" w:rsidP="00521491">
      <w:pPr>
        <w:rPr>
          <w:sz w:val="32"/>
        </w:rPr>
      </w:pPr>
      <w:r w:rsidRPr="00521491">
        <w:br/>
      </w:r>
    </w:p>
    <w:p w:rsidR="00521491" w:rsidRDefault="00521491" w:rsidP="00521491">
      <w:pPr>
        <w:pStyle w:val="Heading2"/>
      </w:pPr>
      <w:bookmarkStart w:id="2" w:name="_Toc385175773"/>
      <w:r>
        <w:t xml:space="preserve">1.2 </w:t>
      </w:r>
      <w:r w:rsidR="002D5D54">
        <w:t>Izvori podataka i metode prikupljanja</w:t>
      </w:r>
      <w:bookmarkEnd w:id="2"/>
    </w:p>
    <w:p w:rsidR="00521491" w:rsidRDefault="00521491" w:rsidP="00521491"/>
    <w:p w:rsidR="00AB5647" w:rsidRDefault="002D5D54" w:rsidP="00521491">
      <w:r>
        <w:br/>
      </w:r>
      <w:r w:rsidR="00521491">
        <w:t xml:space="preserve">Za izradu seminarskog rada koristim uputstva sa Ekonomskog fakulteta, koja su priložena u obavijesti na stranici kolegija Trgovačko pravo. Ugovor o kupoprodaji dobio sam od </w:t>
      </w:r>
      <w:r w:rsidR="0059528C">
        <w:t>(OD TATE MATE</w:t>
      </w:r>
      <w:bookmarkStart w:id="3" w:name="_GoBack"/>
      <w:bookmarkEnd w:id="3"/>
      <w:r w:rsidR="0059528C">
        <w:t>)</w:t>
      </w:r>
      <w:r w:rsidR="00521491">
        <w:t xml:space="preserve">, koji je bio project manager i quality manager za Elektrotekm u trenutku sklapanja ugovora. Premda je ugovor zabranjeno umnažati, omogućio mi je pristup </w:t>
      </w:r>
      <w:r w:rsidR="00AB5647">
        <w:t>kopiji, zbog striktno akademskih razloga. U izradi seminarskog rada koristim i skriptu autora Horak, Dumančić, Preložnjak, Šafranko: ''Uvod u trgovačko pravo'',  koja se koristi kao osnovna literatura na kolegiju Trgovačko pravo na Fakultetu elektrotehnike i računarstva.</w:t>
      </w:r>
    </w:p>
    <w:p w:rsidR="00AB5647" w:rsidRDefault="00AB5647">
      <w:r>
        <w:br w:type="page"/>
      </w:r>
    </w:p>
    <w:p w:rsidR="00533344" w:rsidRDefault="00AB5647" w:rsidP="00AB5647">
      <w:pPr>
        <w:pStyle w:val="Heading1"/>
      </w:pPr>
      <w:bookmarkStart w:id="4" w:name="_Toc385175774"/>
      <w:r>
        <w:lastRenderedPageBreak/>
        <w:t>2. ANALIZA UGOVORA</w:t>
      </w:r>
      <w:bookmarkEnd w:id="4"/>
    </w:p>
    <w:p w:rsidR="00AB5647" w:rsidRDefault="00AB5647" w:rsidP="00AB5647"/>
    <w:p w:rsidR="00AB5647" w:rsidRDefault="00AB5647" w:rsidP="00AB5647">
      <w:pPr>
        <w:pStyle w:val="Heading2"/>
      </w:pPr>
    </w:p>
    <w:p w:rsidR="00AB5647" w:rsidRDefault="00AB5647" w:rsidP="00AB5647">
      <w:pPr>
        <w:pStyle w:val="Heading2"/>
      </w:pPr>
      <w:bookmarkStart w:id="5" w:name="_Toc385175775"/>
      <w:r>
        <w:t>2.1 Predmet ugovora</w:t>
      </w:r>
      <w:bookmarkEnd w:id="5"/>
    </w:p>
    <w:p w:rsidR="00AB5647" w:rsidRDefault="00AB5647" w:rsidP="00AB5647"/>
    <w:p w:rsidR="00AB5647" w:rsidRPr="00AB5647" w:rsidRDefault="00AB5647" w:rsidP="00AB5647"/>
    <w:p w:rsidR="00743929" w:rsidRDefault="00AB5647" w:rsidP="00AB5647">
      <w:r>
        <w:t>Ugovor je potpisan između manje</w:t>
      </w:r>
      <w:r w:rsidR="00DC6B2F">
        <w:t>,</w:t>
      </w:r>
      <w:r>
        <w:t xml:space="preserve"> privatne firme Elektrokem d.o.o i Društv</w:t>
      </w:r>
      <w:r w:rsidR="00743929">
        <w:t xml:space="preserve">a Končar-Električna vozila d.d., u svojstvu voditelja konzorcija CROTRAM. Krajnji kupac je Zagrebački holding d.o.o, a ovaj ugovor se odnosi samo na dio opreme koju je naručio Končar a dobavlja Elektrokem. Elektrokem je bio zadužen za izradu i instalaciju opreme za osvijetljenje u 70 niskopodnih tramvaja serije </w:t>
      </w:r>
      <w:r w:rsidR="00743929" w:rsidRPr="00743929">
        <w:t>TMK 2200 rednih brojeva od 2271 do 22140</w:t>
      </w:r>
      <w:r w:rsidR="00743929">
        <w:t>. Specifikacije isporuke su navedene u tablici 1.1</w:t>
      </w:r>
    </w:p>
    <w:p w:rsidR="00743929" w:rsidRDefault="00743929" w:rsidP="00AB5647"/>
    <w:p w:rsidR="00743929" w:rsidRPr="00743929" w:rsidRDefault="00743929" w:rsidP="00743929">
      <w:pPr>
        <w:jc w:val="both"/>
        <w:rPr>
          <w:b/>
        </w:rPr>
      </w:pPr>
      <w:r w:rsidRPr="00743929">
        <w:rPr>
          <w:b/>
        </w:rPr>
        <w:t>Komplet opreme za jedan (1) TMK 2200 sadrži:</w:t>
      </w:r>
      <w:r w:rsidR="0014244C">
        <w:rPr>
          <w:rStyle w:val="FootnoteReference"/>
          <w:b/>
        </w:rPr>
        <w:footnoteReference w:id="1"/>
      </w:r>
    </w:p>
    <w:p w:rsidR="00743929" w:rsidRDefault="00743929" w:rsidP="00743929">
      <w:pPr>
        <w:jc w:val="both"/>
        <w:rPr>
          <w:rFonts w:ascii="Times New Roman" w:hAnsi="Times New Roman"/>
          <w:b/>
          <w:sz w:val="22"/>
        </w:rPr>
      </w:pPr>
    </w:p>
    <w:tbl>
      <w:tblPr>
        <w:tblW w:w="9114" w:type="dxa"/>
        <w:tblInd w:w="534" w:type="dxa"/>
        <w:tblLook w:val="01E0" w:firstRow="1" w:lastRow="1" w:firstColumn="1" w:lastColumn="1" w:noHBand="0" w:noVBand="0"/>
      </w:tblPr>
      <w:tblGrid>
        <w:gridCol w:w="567"/>
        <w:gridCol w:w="6747"/>
        <w:gridCol w:w="1800"/>
      </w:tblGrid>
      <w:tr w:rsidR="00743929" w:rsidTr="00743929">
        <w:trPr>
          <w:cantSplit/>
        </w:trPr>
        <w:tc>
          <w:tcPr>
            <w:tcW w:w="567" w:type="dxa"/>
            <w:tcBorders>
              <w:top w:val="single" w:sz="4" w:space="0" w:color="auto"/>
              <w:left w:val="single" w:sz="4" w:space="0" w:color="auto"/>
              <w:bottom w:val="single" w:sz="4" w:space="0" w:color="auto"/>
              <w:right w:val="single" w:sz="4" w:space="0" w:color="auto"/>
            </w:tcBorders>
          </w:tcPr>
          <w:p w:rsidR="00743929" w:rsidRDefault="00743929">
            <w:pPr>
              <w:ind w:left="284"/>
              <w:jc w:val="both"/>
              <w:rPr>
                <w:rFonts w:ascii="Times New Roman" w:hAnsi="Times New Roman"/>
              </w:rPr>
            </w:pPr>
          </w:p>
        </w:tc>
        <w:tc>
          <w:tcPr>
            <w:tcW w:w="6747" w:type="dxa"/>
            <w:tcBorders>
              <w:top w:val="single" w:sz="4" w:space="0" w:color="auto"/>
              <w:left w:val="single" w:sz="4" w:space="0" w:color="auto"/>
              <w:bottom w:val="single" w:sz="4" w:space="0" w:color="auto"/>
              <w:right w:val="single" w:sz="4" w:space="0" w:color="auto"/>
            </w:tcBorders>
            <w:vAlign w:val="center"/>
            <w:hideMark/>
          </w:tcPr>
          <w:p w:rsidR="00743929" w:rsidRDefault="00743929">
            <w:pPr>
              <w:ind w:left="284"/>
              <w:rPr>
                <w:rFonts w:ascii="Times New Roman" w:hAnsi="Times New Roman"/>
              </w:rPr>
            </w:pPr>
            <w:r>
              <w:rPr>
                <w:rFonts w:ascii="Times New Roman" w:hAnsi="Times New Roman"/>
              </w:rPr>
              <w:t>NAZIV SKLOPA – DIJELA KOMPLETA OPREME</w:t>
            </w:r>
          </w:p>
        </w:tc>
        <w:tc>
          <w:tcPr>
            <w:tcW w:w="1800" w:type="dxa"/>
            <w:tcBorders>
              <w:top w:val="single" w:sz="4" w:space="0" w:color="auto"/>
              <w:left w:val="single" w:sz="4" w:space="0" w:color="auto"/>
              <w:bottom w:val="single" w:sz="4" w:space="0" w:color="auto"/>
              <w:right w:val="single" w:sz="4" w:space="0" w:color="auto"/>
            </w:tcBorders>
            <w:vAlign w:val="center"/>
            <w:hideMark/>
          </w:tcPr>
          <w:p w:rsidR="00743929" w:rsidRDefault="00743929">
            <w:pPr>
              <w:ind w:left="284"/>
              <w:jc w:val="both"/>
              <w:rPr>
                <w:rFonts w:ascii="Times New Roman" w:hAnsi="Times New Roman"/>
              </w:rPr>
            </w:pPr>
            <w:r>
              <w:rPr>
                <w:rFonts w:ascii="Times New Roman" w:hAnsi="Times New Roman"/>
              </w:rPr>
              <w:t>Kom/TMK</w:t>
            </w:r>
          </w:p>
        </w:tc>
      </w:tr>
      <w:tr w:rsidR="00743929" w:rsidTr="00743929">
        <w:trPr>
          <w:cantSplit/>
        </w:trPr>
        <w:tc>
          <w:tcPr>
            <w:tcW w:w="567" w:type="dxa"/>
            <w:tcBorders>
              <w:top w:val="single" w:sz="4" w:space="0" w:color="auto"/>
              <w:left w:val="single" w:sz="4" w:space="0" w:color="auto"/>
              <w:bottom w:val="single" w:sz="4" w:space="0" w:color="auto"/>
              <w:right w:val="single" w:sz="4" w:space="0" w:color="auto"/>
            </w:tcBorders>
            <w:vAlign w:val="center"/>
            <w:hideMark/>
          </w:tcPr>
          <w:p w:rsidR="00743929" w:rsidRDefault="00743929">
            <w:pPr>
              <w:jc w:val="center"/>
              <w:rPr>
                <w:rFonts w:ascii="Times New Roman" w:hAnsi="Times New Roman"/>
              </w:rPr>
            </w:pPr>
            <w:r>
              <w:rPr>
                <w:rFonts w:ascii="Times New Roman" w:hAnsi="Times New Roman"/>
              </w:rPr>
              <w:t>1.</w:t>
            </w:r>
          </w:p>
        </w:tc>
        <w:tc>
          <w:tcPr>
            <w:tcW w:w="6747" w:type="dxa"/>
            <w:tcBorders>
              <w:top w:val="single" w:sz="4" w:space="0" w:color="auto"/>
              <w:left w:val="single" w:sz="4" w:space="0" w:color="auto"/>
              <w:bottom w:val="single" w:sz="4" w:space="0" w:color="auto"/>
              <w:right w:val="single" w:sz="4" w:space="0" w:color="auto"/>
            </w:tcBorders>
            <w:hideMark/>
          </w:tcPr>
          <w:p w:rsidR="00743929" w:rsidRDefault="00743929">
            <w:pPr>
              <w:jc w:val="both"/>
              <w:rPr>
                <w:rFonts w:ascii="Times New Roman" w:hAnsi="Times New Roman"/>
              </w:rPr>
            </w:pPr>
            <w:r>
              <w:rPr>
                <w:rFonts w:ascii="Times New Roman" w:hAnsi="Times New Roman"/>
              </w:rPr>
              <w:t>Fluorescentna svjetiljka , 36 W – putnički prostor  - EK FS 36 TMK</w:t>
            </w:r>
          </w:p>
        </w:tc>
        <w:tc>
          <w:tcPr>
            <w:tcW w:w="1800" w:type="dxa"/>
            <w:tcBorders>
              <w:top w:val="single" w:sz="4" w:space="0" w:color="auto"/>
              <w:left w:val="single" w:sz="4" w:space="0" w:color="auto"/>
              <w:bottom w:val="single" w:sz="4" w:space="0" w:color="auto"/>
              <w:right w:val="single" w:sz="4" w:space="0" w:color="auto"/>
            </w:tcBorders>
            <w:vAlign w:val="center"/>
            <w:hideMark/>
          </w:tcPr>
          <w:p w:rsidR="00743929" w:rsidRDefault="00743929">
            <w:pPr>
              <w:jc w:val="center"/>
              <w:rPr>
                <w:rFonts w:ascii="Times New Roman" w:hAnsi="Times New Roman"/>
              </w:rPr>
            </w:pPr>
            <w:r>
              <w:rPr>
                <w:rFonts w:ascii="Times New Roman" w:hAnsi="Times New Roman"/>
              </w:rPr>
              <w:t>24</w:t>
            </w:r>
          </w:p>
        </w:tc>
      </w:tr>
      <w:tr w:rsidR="00743929" w:rsidTr="00743929">
        <w:trPr>
          <w:cantSplit/>
          <w:trHeight w:val="277"/>
        </w:trPr>
        <w:tc>
          <w:tcPr>
            <w:tcW w:w="567" w:type="dxa"/>
            <w:tcBorders>
              <w:top w:val="single" w:sz="4" w:space="0" w:color="auto"/>
              <w:left w:val="single" w:sz="4" w:space="0" w:color="auto"/>
              <w:bottom w:val="single" w:sz="4" w:space="0" w:color="auto"/>
              <w:right w:val="single" w:sz="4" w:space="0" w:color="auto"/>
            </w:tcBorders>
            <w:vAlign w:val="center"/>
            <w:hideMark/>
          </w:tcPr>
          <w:p w:rsidR="00743929" w:rsidRDefault="00743929">
            <w:pPr>
              <w:jc w:val="center"/>
              <w:rPr>
                <w:rFonts w:ascii="Times New Roman" w:hAnsi="Times New Roman"/>
              </w:rPr>
            </w:pPr>
            <w:r>
              <w:rPr>
                <w:rFonts w:ascii="Times New Roman" w:hAnsi="Times New Roman"/>
              </w:rPr>
              <w:t>2.</w:t>
            </w:r>
          </w:p>
        </w:tc>
        <w:tc>
          <w:tcPr>
            <w:tcW w:w="6747" w:type="dxa"/>
            <w:tcBorders>
              <w:top w:val="single" w:sz="4" w:space="0" w:color="auto"/>
              <w:left w:val="single" w:sz="4" w:space="0" w:color="auto"/>
              <w:bottom w:val="single" w:sz="4" w:space="0" w:color="auto"/>
              <w:right w:val="single" w:sz="4" w:space="0" w:color="auto"/>
            </w:tcBorders>
            <w:hideMark/>
          </w:tcPr>
          <w:p w:rsidR="00743929" w:rsidRDefault="00743929">
            <w:pPr>
              <w:jc w:val="both"/>
              <w:rPr>
                <w:rFonts w:ascii="Times New Roman" w:hAnsi="Times New Roman"/>
              </w:rPr>
            </w:pPr>
            <w:r>
              <w:rPr>
                <w:rFonts w:ascii="Times New Roman" w:hAnsi="Times New Roman"/>
              </w:rPr>
              <w:t>Fluorescentna svjetiljka , 30 W – putnički prostor – EK FS 30 TMK</w:t>
            </w:r>
          </w:p>
        </w:tc>
        <w:tc>
          <w:tcPr>
            <w:tcW w:w="1800" w:type="dxa"/>
            <w:tcBorders>
              <w:top w:val="single" w:sz="4" w:space="0" w:color="auto"/>
              <w:left w:val="single" w:sz="4" w:space="0" w:color="auto"/>
              <w:bottom w:val="single" w:sz="4" w:space="0" w:color="auto"/>
              <w:right w:val="single" w:sz="4" w:space="0" w:color="auto"/>
            </w:tcBorders>
            <w:vAlign w:val="center"/>
            <w:hideMark/>
          </w:tcPr>
          <w:p w:rsidR="00743929" w:rsidRDefault="00743929">
            <w:pPr>
              <w:jc w:val="center"/>
              <w:rPr>
                <w:rFonts w:ascii="Times New Roman" w:hAnsi="Times New Roman"/>
              </w:rPr>
            </w:pPr>
            <w:r>
              <w:rPr>
                <w:rFonts w:ascii="Times New Roman" w:hAnsi="Times New Roman"/>
              </w:rPr>
              <w:t>8</w:t>
            </w:r>
          </w:p>
        </w:tc>
      </w:tr>
      <w:tr w:rsidR="00743929" w:rsidTr="00743929">
        <w:trPr>
          <w:cantSplit/>
        </w:trPr>
        <w:tc>
          <w:tcPr>
            <w:tcW w:w="567" w:type="dxa"/>
            <w:tcBorders>
              <w:top w:val="single" w:sz="4" w:space="0" w:color="auto"/>
              <w:left w:val="single" w:sz="4" w:space="0" w:color="auto"/>
              <w:bottom w:val="single" w:sz="4" w:space="0" w:color="auto"/>
              <w:right w:val="single" w:sz="4" w:space="0" w:color="auto"/>
            </w:tcBorders>
            <w:vAlign w:val="center"/>
            <w:hideMark/>
          </w:tcPr>
          <w:p w:rsidR="00743929" w:rsidRDefault="00743929">
            <w:pPr>
              <w:ind w:left="284" w:hanging="284"/>
              <w:jc w:val="center"/>
              <w:rPr>
                <w:rFonts w:ascii="Times New Roman" w:hAnsi="Times New Roman"/>
              </w:rPr>
            </w:pPr>
            <w:r>
              <w:rPr>
                <w:rFonts w:ascii="Times New Roman" w:hAnsi="Times New Roman"/>
              </w:rPr>
              <w:t>3.</w:t>
            </w:r>
          </w:p>
        </w:tc>
        <w:tc>
          <w:tcPr>
            <w:tcW w:w="6747" w:type="dxa"/>
            <w:tcBorders>
              <w:top w:val="single" w:sz="4" w:space="0" w:color="auto"/>
              <w:left w:val="single" w:sz="4" w:space="0" w:color="auto"/>
              <w:bottom w:val="single" w:sz="4" w:space="0" w:color="auto"/>
              <w:right w:val="single" w:sz="4" w:space="0" w:color="auto"/>
            </w:tcBorders>
            <w:hideMark/>
          </w:tcPr>
          <w:p w:rsidR="00743929" w:rsidRDefault="00743929">
            <w:pPr>
              <w:ind w:left="284" w:hanging="284"/>
              <w:jc w:val="both"/>
              <w:rPr>
                <w:rFonts w:ascii="Times New Roman" w:hAnsi="Times New Roman"/>
              </w:rPr>
            </w:pPr>
            <w:r>
              <w:rPr>
                <w:rFonts w:ascii="Times New Roman" w:hAnsi="Times New Roman"/>
              </w:rPr>
              <w:t xml:space="preserve">Fluorescentna svjetiljka , 2 x 9 W – upravljaćnica – EK FSO TMK </w:t>
            </w:r>
          </w:p>
        </w:tc>
        <w:tc>
          <w:tcPr>
            <w:tcW w:w="1800" w:type="dxa"/>
            <w:tcBorders>
              <w:top w:val="single" w:sz="4" w:space="0" w:color="auto"/>
              <w:left w:val="single" w:sz="4" w:space="0" w:color="auto"/>
              <w:bottom w:val="single" w:sz="4" w:space="0" w:color="auto"/>
              <w:right w:val="single" w:sz="4" w:space="0" w:color="auto"/>
            </w:tcBorders>
            <w:vAlign w:val="center"/>
            <w:hideMark/>
          </w:tcPr>
          <w:p w:rsidR="00743929" w:rsidRDefault="00743929">
            <w:pPr>
              <w:ind w:left="284" w:hanging="284"/>
              <w:jc w:val="center"/>
              <w:rPr>
                <w:rFonts w:ascii="Times New Roman" w:hAnsi="Times New Roman"/>
              </w:rPr>
            </w:pPr>
            <w:r>
              <w:rPr>
                <w:rFonts w:ascii="Times New Roman" w:hAnsi="Times New Roman"/>
              </w:rPr>
              <w:t>1</w:t>
            </w:r>
          </w:p>
        </w:tc>
      </w:tr>
      <w:tr w:rsidR="00743929" w:rsidTr="00743929">
        <w:trPr>
          <w:cantSplit/>
        </w:trPr>
        <w:tc>
          <w:tcPr>
            <w:tcW w:w="567" w:type="dxa"/>
            <w:tcBorders>
              <w:top w:val="single" w:sz="4" w:space="0" w:color="auto"/>
              <w:left w:val="single" w:sz="4" w:space="0" w:color="auto"/>
              <w:bottom w:val="single" w:sz="4" w:space="0" w:color="auto"/>
              <w:right w:val="single" w:sz="4" w:space="0" w:color="auto"/>
            </w:tcBorders>
            <w:vAlign w:val="center"/>
          </w:tcPr>
          <w:p w:rsidR="00743929" w:rsidRDefault="00743929">
            <w:pPr>
              <w:ind w:left="284" w:hanging="284"/>
              <w:jc w:val="center"/>
              <w:rPr>
                <w:rFonts w:ascii="Times New Roman" w:hAnsi="Times New Roman"/>
              </w:rPr>
            </w:pPr>
          </w:p>
        </w:tc>
        <w:tc>
          <w:tcPr>
            <w:tcW w:w="6747" w:type="dxa"/>
            <w:tcBorders>
              <w:top w:val="single" w:sz="4" w:space="0" w:color="auto"/>
              <w:left w:val="single" w:sz="4" w:space="0" w:color="auto"/>
              <w:bottom w:val="single" w:sz="4" w:space="0" w:color="auto"/>
              <w:right w:val="single" w:sz="4" w:space="0" w:color="auto"/>
            </w:tcBorders>
          </w:tcPr>
          <w:p w:rsidR="00743929" w:rsidRDefault="00743929">
            <w:pPr>
              <w:ind w:left="284" w:hanging="284"/>
              <w:jc w:val="both"/>
              <w:rPr>
                <w:rFonts w:ascii="Times New Roman" w:hAnsi="Times New Roman"/>
              </w:rPr>
            </w:pPr>
          </w:p>
        </w:tc>
        <w:tc>
          <w:tcPr>
            <w:tcW w:w="1800" w:type="dxa"/>
            <w:tcBorders>
              <w:top w:val="single" w:sz="4" w:space="0" w:color="auto"/>
              <w:left w:val="single" w:sz="4" w:space="0" w:color="auto"/>
              <w:bottom w:val="single" w:sz="4" w:space="0" w:color="auto"/>
              <w:right w:val="single" w:sz="4" w:space="0" w:color="auto"/>
            </w:tcBorders>
            <w:vAlign w:val="center"/>
          </w:tcPr>
          <w:p w:rsidR="00743929" w:rsidRDefault="00743929">
            <w:pPr>
              <w:ind w:left="284" w:hanging="284"/>
              <w:jc w:val="center"/>
              <w:rPr>
                <w:rFonts w:ascii="Times New Roman" w:hAnsi="Times New Roman"/>
              </w:rPr>
            </w:pPr>
          </w:p>
        </w:tc>
      </w:tr>
    </w:tbl>
    <w:p w:rsidR="00743929" w:rsidRDefault="00743929" w:rsidP="00743929">
      <w:pPr>
        <w:jc w:val="both"/>
        <w:rPr>
          <w:rFonts w:ascii="Times New Roman" w:hAnsi="Times New Roman"/>
          <w:sz w:val="22"/>
        </w:rPr>
      </w:pPr>
      <w:r w:rsidRPr="00743929">
        <w:rPr>
          <w:b/>
          <w:lang w:eastAsia="hr-HR"/>
        </w:rPr>
        <mc:AlternateContent>
          <mc:Choice Requires="wps">
            <w:drawing>
              <wp:anchor distT="0" distB="0" distL="114300" distR="114300" simplePos="0" relativeHeight="251659264" behindDoc="0" locked="0" layoutInCell="1" allowOverlap="1" wp14:anchorId="7CFC1BD9" wp14:editId="6EC53EC1">
                <wp:simplePos x="0" y="0"/>
                <wp:positionH relativeFrom="column">
                  <wp:posOffset>2437386</wp:posOffset>
                </wp:positionH>
                <wp:positionV relativeFrom="paragraph">
                  <wp:posOffset>142240</wp:posOffset>
                </wp:positionV>
                <wp:extent cx="2374265" cy="1403985"/>
                <wp:effectExtent l="0" t="0" r="19685"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chemeClr val="bg1"/>
                        </a:solidFill>
                        <a:ln w="9525">
                          <a:solidFill>
                            <a:schemeClr val="bg1"/>
                          </a:solidFill>
                          <a:miter lim="800000"/>
                          <a:headEnd/>
                          <a:tailEnd/>
                        </a:ln>
                      </wps:spPr>
                      <wps:txbx>
                        <w:txbxContent>
                          <w:p w:rsidR="00743929" w:rsidRDefault="00743929">
                            <w:r>
                              <w:t>TABLICA 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191.9pt;margin-top:11.2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" fillcolor="white [3212]" strokecolor="white [3212]">
                <v:textbox style="mso-fit-shape-to-text:t">
                  <w:txbxContent>
                    <w:p w:rsidR="00743929" w:rsidRDefault="00743929">
                      <w:r>
                        <w:t>TABLICA 1.1</w:t>
                      </w:r>
                    </w:p>
                  </w:txbxContent>
                </v:textbox>
              </v:shape>
            </w:pict>
          </mc:Fallback>
        </mc:AlternateContent>
      </w:r>
    </w:p>
    <w:p w:rsidR="00AB5647" w:rsidRDefault="00743929" w:rsidP="00AB5647">
      <w:r w:rsidRPr="00743929">
        <w:t xml:space="preserve"> </w:t>
      </w:r>
    </w:p>
    <w:p w:rsidR="00743929" w:rsidRDefault="00497C4E" w:rsidP="00497C4E">
      <w:pPr>
        <w:pStyle w:val="Heading2"/>
      </w:pPr>
      <w:bookmarkStart w:id="6" w:name="_Toc385175776"/>
      <w:r>
        <w:lastRenderedPageBreak/>
        <w:t>2.2 Rokovi isporuke</w:t>
      </w:r>
      <w:bookmarkEnd w:id="6"/>
    </w:p>
    <w:p w:rsidR="00497C4E" w:rsidRDefault="00497C4E" w:rsidP="00497C4E"/>
    <w:p w:rsidR="00497C4E" w:rsidRDefault="00497C4E" w:rsidP="00497C4E">
      <w:r>
        <w:t xml:space="preserve">Ugovor je potpisan u rujnu, 2007. Godine. U njemu su detaljno navedeni rokovi i tempo isporuke, te kazne koje slijede ukoliko se prekorači određeni rok isporuke.  Tu se prodavač, Elektrokem, obvezao na poštivanje uvijeta te isporuku jedne narudžbe u periodu od deset dana, s vremenom trajanja od tri godine. </w:t>
      </w:r>
      <w:r w:rsidR="0014244C">
        <w:t xml:space="preserve"> </w:t>
      </w:r>
    </w:p>
    <w:p w:rsidR="00D4537D" w:rsidRDefault="00D4537D" w:rsidP="00497C4E"/>
    <w:p w:rsidR="0014244C" w:rsidRPr="00D4537D" w:rsidRDefault="0014244C" w:rsidP="0014244C">
      <w:pPr>
        <w:rPr>
          <w:i/>
        </w:rPr>
      </w:pPr>
      <w:r w:rsidRPr="00D4537D">
        <w:rPr>
          <w:i/>
        </w:rPr>
        <w:t>Isporučitelj se obvezuje naručene komplete isporučivati Naručitelju slijedećom dinamikom:</w:t>
      </w:r>
    </w:p>
    <w:p w:rsidR="0014244C" w:rsidRPr="00D4537D" w:rsidRDefault="0014244C" w:rsidP="0014244C">
      <w:pPr>
        <w:rPr>
          <w:i/>
        </w:rPr>
      </w:pPr>
      <w:r w:rsidRPr="00D4537D">
        <w:rPr>
          <w:i/>
        </w:rPr>
        <w:t xml:space="preserve">              *   3 kompleta </w:t>
      </w:r>
      <w:r w:rsidRPr="00D4537D">
        <w:rPr>
          <w:i/>
        </w:rPr>
        <w:tab/>
      </w:r>
      <w:r w:rsidRPr="00D4537D">
        <w:rPr>
          <w:i/>
        </w:rPr>
        <w:tab/>
        <w:t xml:space="preserve">-do </w:t>
      </w:r>
      <w:r w:rsidRPr="00D4537D">
        <w:rPr>
          <w:b/>
          <w:i/>
        </w:rPr>
        <w:t>02., 11.,  i  21. studenog 2007</w:t>
      </w:r>
      <w:r w:rsidRPr="00D4537D">
        <w:rPr>
          <w:i/>
        </w:rPr>
        <w:t>.god.  i dalje</w:t>
      </w:r>
    </w:p>
    <w:p w:rsidR="0014244C" w:rsidRPr="00D4537D" w:rsidRDefault="0014244C" w:rsidP="0014244C">
      <w:pPr>
        <w:rPr>
          <w:i/>
        </w:rPr>
      </w:pPr>
      <w:r w:rsidRPr="00D4537D">
        <w:rPr>
          <w:i/>
        </w:rPr>
        <w:t xml:space="preserve">              *   3 kompleta mjesečno, </w:t>
      </w:r>
      <w:r w:rsidRPr="00D4537D">
        <w:rPr>
          <w:i/>
        </w:rPr>
        <w:tab/>
        <w:t xml:space="preserve">-svakih deset dana tijekom 2007., 2008. i 2009. godine do          </w:t>
      </w:r>
    </w:p>
    <w:p w:rsidR="0014244C" w:rsidRPr="00D4537D" w:rsidRDefault="0014244C" w:rsidP="0014244C">
      <w:pPr>
        <w:rPr>
          <w:i/>
        </w:rPr>
      </w:pPr>
      <w:r w:rsidRPr="00D4537D">
        <w:rPr>
          <w:i/>
        </w:rPr>
        <w:t xml:space="preserve">                  </w:t>
      </w:r>
      <w:r w:rsidRPr="00D4537D">
        <w:rPr>
          <w:i/>
        </w:rPr>
        <w:tab/>
      </w:r>
      <w:r w:rsidRPr="00D4537D">
        <w:rPr>
          <w:i/>
        </w:rPr>
        <w:tab/>
      </w:r>
      <w:r w:rsidRPr="00D4537D">
        <w:rPr>
          <w:i/>
        </w:rPr>
        <w:tab/>
      </w:r>
      <w:r w:rsidRPr="00D4537D">
        <w:rPr>
          <w:i/>
        </w:rPr>
        <w:tab/>
        <w:t xml:space="preserve"> ukupno 70 kompleta.</w:t>
      </w:r>
    </w:p>
    <w:p w:rsidR="0014244C" w:rsidRDefault="0014244C" w:rsidP="0014244C">
      <w:r w:rsidRPr="00D4537D">
        <w:rPr>
          <w:i/>
        </w:rPr>
        <w:t>Konačni rok isporuke naručenih kompleta prema utvrđenoj dinamici je listopad 2009.god. kada je Isporučitelj u obvezi dostaviti Naručitelju na ugradnju zadnji naručeni komplet.</w:t>
      </w:r>
      <w:r>
        <w:tab/>
      </w:r>
      <w:r>
        <w:rPr>
          <w:rStyle w:val="FootnoteReference"/>
        </w:rPr>
        <w:footnoteReference w:id="2"/>
      </w:r>
    </w:p>
    <w:p w:rsidR="00D4537D" w:rsidRPr="00497C4E" w:rsidRDefault="00D4537D" w:rsidP="0014244C"/>
    <w:p w:rsidR="00AB5647" w:rsidRDefault="00AB5647" w:rsidP="00AB5647">
      <w:pPr>
        <w:pStyle w:val="Heading2"/>
      </w:pPr>
    </w:p>
    <w:p w:rsidR="0014244C" w:rsidRDefault="0014244C" w:rsidP="0014244C">
      <w:r>
        <w:t xml:space="preserve">Osim za rokove, isporučitelj se morao obvezati i na neke zahtjeve naručitelja, kojim se naručitelj osigurava od moguće štete prouzročene nepredviđenim okolnostima ili nemarom isporučitelja. Jedna od tih mjera je i obaveza isporučitelja da u svakom trenutku ima pričuvnih,  propisno uskladištenih 6 kompleta opreme, koje je pregledalo Kontrola kvalitete naručitelja. </w:t>
      </w:r>
    </w:p>
    <w:p w:rsidR="00D4537D" w:rsidRDefault="00D4537D"/>
    <w:p w:rsidR="00D4537D" w:rsidRDefault="00D4537D">
      <w:r>
        <w:br w:type="page"/>
      </w:r>
    </w:p>
    <w:p w:rsidR="00D4537D" w:rsidRDefault="00D4537D" w:rsidP="00D4537D">
      <w:pPr>
        <w:pStyle w:val="Heading3"/>
      </w:pPr>
      <w:bookmarkStart w:id="7" w:name="_Toc385175777"/>
      <w:r>
        <w:lastRenderedPageBreak/>
        <w:t>2.2.1 Ugovorne kazne</w:t>
      </w:r>
      <w:bookmarkEnd w:id="7"/>
    </w:p>
    <w:p w:rsidR="00D4537D" w:rsidRDefault="00D4537D" w:rsidP="00D4537D"/>
    <w:p w:rsidR="00D4537D" w:rsidRDefault="00011A21" w:rsidP="00D4537D">
      <w:r>
        <w:t xml:space="preserve">Kao dodatna obveza isporučitelja, i dodatno osiguranje naručitelju, u ugovor su uvrštene i kazne za prekoračenje roka kako bi se motiviralo isporučitelja da poštuje ugovor i kompenziralo naručitelju u slučaju kašnjenja opreme, jer svi daljnji radovi u nizu čekaju dok se ne isporuči potrebna oprema. </w:t>
      </w:r>
    </w:p>
    <w:p w:rsidR="00011A21" w:rsidRDefault="00011A21" w:rsidP="00011A21">
      <w:pPr>
        <w:rPr>
          <w:i/>
        </w:rPr>
      </w:pPr>
      <w:r w:rsidRPr="00011A21">
        <w:rPr>
          <w:i/>
        </w:rPr>
        <w:t>Za prekoračenje rokova  navedenih u Članku 2. Rokovi isporuke, Isporučitelj će platiti Naručitelju ugovornu kaznu u iznosu od 3% tjedno ugovorene cijene kompleta dijelova iz  predmeta Ugovora  koji kasne prema navedenim rokovima isporuke. Ukupni penali za kašnjenje ne mogu prijeći više od  10% ukupno ugovorene cijene iz ovog Ugovora.</w:t>
      </w:r>
      <w:r>
        <w:rPr>
          <w:rStyle w:val="FootnoteReference"/>
          <w:i/>
        </w:rPr>
        <w:footnoteReference w:id="3"/>
      </w:r>
    </w:p>
    <w:p w:rsidR="00011A21" w:rsidRDefault="00011A21" w:rsidP="00011A21">
      <w:pPr>
        <w:rPr>
          <w:i/>
        </w:rPr>
      </w:pPr>
    </w:p>
    <w:p w:rsidR="00011A21" w:rsidRDefault="00011A21" w:rsidP="00011A21">
      <w:pPr>
        <w:pStyle w:val="Heading3"/>
      </w:pPr>
      <w:bookmarkStart w:id="8" w:name="_Toc385175778"/>
      <w:r>
        <w:t>2.2.2 Nepredviđene okolnosti (viša sila)</w:t>
      </w:r>
      <w:bookmarkEnd w:id="8"/>
    </w:p>
    <w:p w:rsidR="00011A21" w:rsidRDefault="00011A21" w:rsidP="00011A21"/>
    <w:p w:rsidR="00011A21" w:rsidRDefault="00011A21" w:rsidP="00011A21">
      <w:r>
        <w:t xml:space="preserve">U ugovoru je definirana i akcija u slučaju da dođe do nepredviđenih okolnosti koje uzrokuju produljenje radova ili dodatne troškove, na koje niti isporučitelj niti naručitelj nisu mogli utjecati. Također je definirano i objašnjeno šta će se smatrati pod nepredviđene okolnosti na što su obje strane pristale. </w:t>
      </w:r>
    </w:p>
    <w:p w:rsidR="00011A21" w:rsidRPr="00011A21" w:rsidRDefault="00011A21" w:rsidP="00011A21">
      <w:pPr>
        <w:pStyle w:val="ListParagraph"/>
        <w:numPr>
          <w:ilvl w:val="0"/>
          <w:numId w:val="3"/>
        </w:numPr>
        <w:rPr>
          <w:i/>
          <w:sz w:val="24"/>
        </w:rPr>
      </w:pPr>
      <w:r w:rsidRPr="00011A21">
        <w:rPr>
          <w:i/>
          <w:sz w:val="24"/>
        </w:rPr>
        <w:t>Višom silom se smatraju okolnosti na koje ugovorne strane u vrijeme zaključenja ugovora nisu mogle utjecati, a čine provođenje ugovora nemogućim ili ugrožavaju njegovo provođenje, a odnose se na ratove ili revolucije, požare, poplave, epidemije, karantenske restrikcije i embargo na promet robe itd.</w:t>
      </w:r>
    </w:p>
    <w:p w:rsidR="001641A5" w:rsidRPr="001641A5" w:rsidRDefault="001641A5" w:rsidP="001641A5">
      <w:pPr>
        <w:pStyle w:val="ListParagraph"/>
        <w:numPr>
          <w:ilvl w:val="0"/>
          <w:numId w:val="3"/>
        </w:numPr>
        <w:rPr>
          <w:i/>
          <w:sz w:val="24"/>
        </w:rPr>
      </w:pPr>
      <w:r w:rsidRPr="001641A5">
        <w:rPr>
          <w:i/>
          <w:sz w:val="24"/>
        </w:rPr>
        <w:t>Stranka koja zahtijeva oslobađanje od odgovornosti zbog nastanka okolnosti više sile mora bez odlaganja, pisanim putem u roku od sedam (7) dana od nastanka spornih okolnosti, obavijestiti drugu stranku o nastanku okolnosti više sile, njenom uzroku i očekivanom trajanju. Ako Naručitelj drugačije ne odredi u pisanom obliku, Isporučitelj će nastaviti s ispunjavanjem svojih ugovornih obveza u mjeri u kojoj je to izvodljivo i nastojat će naći sve realne alternativne načine za realizaciju Ugovora koje dozvoljavaju stanje « Više sile».</w:t>
      </w:r>
      <w:r>
        <w:rPr>
          <w:rStyle w:val="FootnoteReference"/>
          <w:i/>
          <w:sz w:val="24"/>
        </w:rPr>
        <w:footnoteReference w:id="4"/>
      </w:r>
    </w:p>
    <w:p w:rsidR="001641A5" w:rsidRDefault="001641A5">
      <w:pPr>
        <w:rPr>
          <w:sz w:val="24"/>
        </w:rPr>
      </w:pPr>
      <w:r>
        <w:rPr>
          <w:sz w:val="24"/>
        </w:rPr>
        <w:br w:type="page"/>
      </w:r>
    </w:p>
    <w:p w:rsidR="00011A21" w:rsidRDefault="001641A5" w:rsidP="001641A5">
      <w:pPr>
        <w:pStyle w:val="Heading2"/>
      </w:pPr>
      <w:bookmarkStart w:id="9" w:name="_Toc385175779"/>
      <w:r>
        <w:lastRenderedPageBreak/>
        <w:t>2.3 Cijene</w:t>
      </w:r>
      <w:bookmarkEnd w:id="9"/>
    </w:p>
    <w:p w:rsidR="001641A5" w:rsidRDefault="001641A5" w:rsidP="001641A5"/>
    <w:p w:rsidR="001641A5" w:rsidRDefault="001641A5" w:rsidP="001641A5">
      <w:r>
        <w:t xml:space="preserve">Kao jedan od ključnih dijelova svakog kupoprodajnog ugovora navedene su detaljno i cijene sa načinima plačanja. Cijena je jedno od najbitnijih obveza naručitelja, a definira ju isporučitelj, kao i načine plačanja. </w:t>
      </w:r>
    </w:p>
    <w:p w:rsidR="001641A5" w:rsidRDefault="001641A5" w:rsidP="001641A5">
      <w:r>
        <w:t>U ugovoru je određeno novčano plačanje u kunama, i to za svaki komplet detaljne cijene pojedinih proizvoda</w:t>
      </w:r>
      <w:r w:rsidR="00F249C9">
        <w:t xml:space="preserve"> temeljene na članku 1</w:t>
      </w:r>
      <w:r>
        <w:t xml:space="preserve">, te ukupna cijena posla, bez PDV-a, koji se izračunava naknadno. </w:t>
      </w:r>
    </w:p>
    <w:p w:rsidR="00F249C9" w:rsidRDefault="00F249C9" w:rsidP="001641A5">
      <w:r>
        <w:t>Cijena jednog kompleta navedena je u tablici 2.</w:t>
      </w:r>
      <w:r>
        <w:rPr>
          <w:rStyle w:val="FootnoteReference"/>
        </w:rPr>
        <w:footnoteReference w:id="5"/>
      </w:r>
    </w:p>
    <w:p w:rsidR="00F249C9" w:rsidRDefault="00F249C9" w:rsidP="00F249C9">
      <w:pPr>
        <w:ind w:left="284" w:hanging="284"/>
        <w:jc w:val="both"/>
        <w:rPr>
          <w:rFonts w:ascii="Times New Roman" w:hAnsi="Times New Roman"/>
          <w:sz w:val="22"/>
        </w:rPr>
      </w:pPr>
    </w:p>
    <w:tbl>
      <w:tblPr>
        <w:tblW w:w="9497" w:type="dxa"/>
        <w:tblInd w:w="250" w:type="dxa"/>
        <w:tblLook w:val="01E0" w:firstRow="1" w:lastRow="1" w:firstColumn="1" w:lastColumn="1" w:noHBand="0" w:noVBand="0"/>
      </w:tblPr>
      <w:tblGrid>
        <w:gridCol w:w="533"/>
        <w:gridCol w:w="4150"/>
        <w:gridCol w:w="1138"/>
        <w:gridCol w:w="1807"/>
        <w:gridCol w:w="1869"/>
      </w:tblGrid>
      <w:tr w:rsidR="00F249C9" w:rsidTr="00F249C9">
        <w:trPr>
          <w:cantSplit/>
        </w:trPr>
        <w:tc>
          <w:tcPr>
            <w:tcW w:w="567" w:type="dxa"/>
            <w:tcBorders>
              <w:top w:val="single" w:sz="4" w:space="0" w:color="auto"/>
              <w:left w:val="single" w:sz="4" w:space="0" w:color="auto"/>
              <w:bottom w:val="single" w:sz="4" w:space="0" w:color="auto"/>
              <w:right w:val="single" w:sz="4" w:space="0" w:color="auto"/>
            </w:tcBorders>
          </w:tcPr>
          <w:p w:rsidR="00F249C9" w:rsidRDefault="00F249C9">
            <w:pPr>
              <w:ind w:left="284"/>
              <w:jc w:val="center"/>
              <w:rPr>
                <w:rFonts w:ascii="Times New Roman" w:hAnsi="Times New Roman"/>
              </w:rPr>
            </w:pPr>
          </w:p>
        </w:tc>
        <w:tc>
          <w:tcPr>
            <w:tcW w:w="4820" w:type="dxa"/>
            <w:tcBorders>
              <w:top w:val="single" w:sz="4" w:space="0" w:color="auto"/>
              <w:left w:val="single" w:sz="4" w:space="0" w:color="auto"/>
              <w:bottom w:val="single" w:sz="4" w:space="0" w:color="auto"/>
              <w:right w:val="single" w:sz="4" w:space="0" w:color="auto"/>
            </w:tcBorders>
            <w:vAlign w:val="center"/>
            <w:hideMark/>
          </w:tcPr>
          <w:p w:rsidR="00F249C9" w:rsidRDefault="00F249C9">
            <w:pPr>
              <w:ind w:left="284"/>
              <w:jc w:val="center"/>
              <w:rPr>
                <w:rFonts w:ascii="Times New Roman" w:hAnsi="Times New Roman"/>
              </w:rPr>
            </w:pPr>
            <w:r>
              <w:rPr>
                <w:rFonts w:ascii="Times New Roman" w:hAnsi="Times New Roman"/>
              </w:rPr>
              <w:t>NAZIV SKLOPA – DIJELA KOMPLETA OPREME</w:t>
            </w:r>
          </w:p>
        </w:tc>
        <w:tc>
          <w:tcPr>
            <w:tcW w:w="992" w:type="dxa"/>
            <w:tcBorders>
              <w:top w:val="single" w:sz="4" w:space="0" w:color="auto"/>
              <w:left w:val="single" w:sz="4" w:space="0" w:color="auto"/>
              <w:bottom w:val="single" w:sz="4" w:space="0" w:color="auto"/>
              <w:right w:val="single" w:sz="4" w:space="0" w:color="auto"/>
            </w:tcBorders>
            <w:vAlign w:val="center"/>
            <w:hideMark/>
          </w:tcPr>
          <w:p w:rsidR="00F249C9" w:rsidRDefault="00F249C9">
            <w:pPr>
              <w:ind w:left="284"/>
              <w:jc w:val="center"/>
              <w:rPr>
                <w:rFonts w:ascii="Times New Roman" w:hAnsi="Times New Roman"/>
              </w:rPr>
            </w:pPr>
            <w:r>
              <w:rPr>
                <w:rFonts w:ascii="Times New Roman" w:hAnsi="Times New Roman"/>
              </w:rPr>
              <w:t>Kom/</w:t>
            </w:r>
          </w:p>
          <w:p w:rsidR="00F249C9" w:rsidRDefault="00F249C9">
            <w:pPr>
              <w:ind w:left="284"/>
              <w:jc w:val="center"/>
              <w:rPr>
                <w:rFonts w:ascii="Times New Roman" w:hAnsi="Times New Roman"/>
              </w:rPr>
            </w:pPr>
            <w:r>
              <w:rPr>
                <w:rFonts w:ascii="Times New Roman" w:hAnsi="Times New Roman"/>
              </w:rPr>
              <w:t>TMK</w:t>
            </w:r>
          </w:p>
        </w:tc>
        <w:tc>
          <w:tcPr>
            <w:tcW w:w="1559" w:type="dxa"/>
            <w:tcBorders>
              <w:top w:val="single" w:sz="4" w:space="0" w:color="auto"/>
              <w:left w:val="single" w:sz="4" w:space="0" w:color="auto"/>
              <w:bottom w:val="single" w:sz="4" w:space="0" w:color="auto"/>
              <w:right w:val="single" w:sz="4" w:space="0" w:color="auto"/>
            </w:tcBorders>
            <w:vAlign w:val="center"/>
            <w:hideMark/>
          </w:tcPr>
          <w:p w:rsidR="00F249C9" w:rsidRDefault="00F249C9">
            <w:pPr>
              <w:ind w:left="284"/>
              <w:jc w:val="center"/>
              <w:rPr>
                <w:rFonts w:ascii="Times New Roman" w:hAnsi="Times New Roman"/>
              </w:rPr>
            </w:pPr>
            <w:r>
              <w:rPr>
                <w:rFonts w:ascii="Times New Roman" w:hAnsi="Times New Roman"/>
              </w:rPr>
              <w:t>Cijena/kom         (kuna)</w:t>
            </w:r>
          </w:p>
        </w:tc>
        <w:tc>
          <w:tcPr>
            <w:tcW w:w="1559" w:type="dxa"/>
            <w:tcBorders>
              <w:top w:val="single" w:sz="4" w:space="0" w:color="auto"/>
              <w:left w:val="single" w:sz="4" w:space="0" w:color="auto"/>
              <w:bottom w:val="single" w:sz="4" w:space="0" w:color="auto"/>
              <w:right w:val="single" w:sz="4" w:space="0" w:color="auto"/>
            </w:tcBorders>
            <w:vAlign w:val="center"/>
            <w:hideMark/>
          </w:tcPr>
          <w:p w:rsidR="00F249C9" w:rsidRDefault="00F249C9">
            <w:pPr>
              <w:ind w:left="284"/>
              <w:jc w:val="center"/>
              <w:rPr>
                <w:rFonts w:ascii="Times New Roman" w:hAnsi="Times New Roman"/>
              </w:rPr>
            </w:pPr>
            <w:r>
              <w:rPr>
                <w:rFonts w:ascii="Times New Roman" w:hAnsi="Times New Roman"/>
              </w:rPr>
              <w:t>Ukupna cijena/TMK         (kuna)</w:t>
            </w:r>
          </w:p>
        </w:tc>
      </w:tr>
      <w:tr w:rsidR="00F249C9" w:rsidTr="00F249C9">
        <w:trPr>
          <w:cantSplit/>
        </w:trPr>
        <w:tc>
          <w:tcPr>
            <w:tcW w:w="567" w:type="dxa"/>
            <w:tcBorders>
              <w:top w:val="single" w:sz="4" w:space="0" w:color="auto"/>
              <w:left w:val="single" w:sz="4" w:space="0" w:color="auto"/>
              <w:bottom w:val="single" w:sz="4" w:space="0" w:color="auto"/>
              <w:right w:val="single" w:sz="4" w:space="0" w:color="auto"/>
            </w:tcBorders>
            <w:hideMark/>
          </w:tcPr>
          <w:p w:rsidR="00F249C9" w:rsidRDefault="00F249C9">
            <w:pPr>
              <w:jc w:val="both"/>
              <w:rPr>
                <w:rFonts w:ascii="Times New Roman" w:hAnsi="Times New Roman"/>
              </w:rPr>
            </w:pPr>
            <w:r>
              <w:rPr>
                <w:rFonts w:ascii="Times New Roman" w:hAnsi="Times New Roman"/>
              </w:rPr>
              <w:t>1.</w:t>
            </w:r>
          </w:p>
        </w:tc>
        <w:tc>
          <w:tcPr>
            <w:tcW w:w="4820" w:type="dxa"/>
            <w:tcBorders>
              <w:top w:val="single" w:sz="4" w:space="0" w:color="auto"/>
              <w:left w:val="single" w:sz="4" w:space="0" w:color="auto"/>
              <w:bottom w:val="single" w:sz="4" w:space="0" w:color="auto"/>
              <w:right w:val="single" w:sz="4" w:space="0" w:color="auto"/>
            </w:tcBorders>
            <w:hideMark/>
          </w:tcPr>
          <w:p w:rsidR="00F249C9" w:rsidRDefault="00F249C9">
            <w:pPr>
              <w:jc w:val="both"/>
              <w:rPr>
                <w:rFonts w:ascii="Times New Roman" w:hAnsi="Times New Roman"/>
              </w:rPr>
            </w:pPr>
            <w:r>
              <w:rPr>
                <w:rFonts w:ascii="Times New Roman" w:hAnsi="Times New Roman"/>
              </w:rPr>
              <w:t xml:space="preserve"> Fluorescentna svjetiljka, 36 W – EK FS 36 TMK  </w:t>
            </w:r>
          </w:p>
        </w:tc>
        <w:tc>
          <w:tcPr>
            <w:tcW w:w="992" w:type="dxa"/>
            <w:tcBorders>
              <w:top w:val="single" w:sz="4" w:space="0" w:color="auto"/>
              <w:left w:val="single" w:sz="4" w:space="0" w:color="auto"/>
              <w:bottom w:val="single" w:sz="4" w:space="0" w:color="auto"/>
              <w:right w:val="single" w:sz="4" w:space="0" w:color="auto"/>
            </w:tcBorders>
            <w:vAlign w:val="center"/>
            <w:hideMark/>
          </w:tcPr>
          <w:p w:rsidR="00F249C9" w:rsidRDefault="00F249C9">
            <w:pPr>
              <w:jc w:val="center"/>
              <w:rPr>
                <w:rFonts w:ascii="Times New Roman" w:hAnsi="Times New Roman"/>
              </w:rPr>
            </w:pPr>
            <w:r>
              <w:rPr>
                <w:rFonts w:ascii="Times New Roman" w:hAnsi="Times New Roman"/>
              </w:rPr>
              <w:t>24</w:t>
            </w:r>
          </w:p>
        </w:tc>
        <w:tc>
          <w:tcPr>
            <w:tcW w:w="1559" w:type="dxa"/>
            <w:tcBorders>
              <w:top w:val="single" w:sz="4" w:space="0" w:color="auto"/>
              <w:left w:val="single" w:sz="4" w:space="0" w:color="auto"/>
              <w:bottom w:val="single" w:sz="4" w:space="0" w:color="auto"/>
              <w:right w:val="single" w:sz="4" w:space="0" w:color="auto"/>
            </w:tcBorders>
            <w:vAlign w:val="center"/>
            <w:hideMark/>
          </w:tcPr>
          <w:p w:rsidR="00F249C9" w:rsidRDefault="00F249C9">
            <w:pPr>
              <w:ind w:left="284"/>
              <w:jc w:val="right"/>
              <w:rPr>
                <w:rFonts w:ascii="Times New Roman" w:hAnsi="Times New Roman"/>
              </w:rPr>
            </w:pPr>
            <w:r>
              <w:rPr>
                <w:rFonts w:ascii="Times New Roman" w:hAnsi="Times New Roman"/>
              </w:rPr>
              <w:t>970,00</w:t>
            </w:r>
          </w:p>
        </w:tc>
        <w:tc>
          <w:tcPr>
            <w:tcW w:w="1559" w:type="dxa"/>
            <w:tcBorders>
              <w:top w:val="single" w:sz="4" w:space="0" w:color="auto"/>
              <w:left w:val="single" w:sz="4" w:space="0" w:color="auto"/>
              <w:bottom w:val="single" w:sz="4" w:space="0" w:color="auto"/>
              <w:right w:val="single" w:sz="4" w:space="0" w:color="auto"/>
            </w:tcBorders>
            <w:vAlign w:val="center"/>
            <w:hideMark/>
          </w:tcPr>
          <w:p w:rsidR="00F249C9" w:rsidRDefault="00F249C9">
            <w:pPr>
              <w:ind w:left="284"/>
              <w:jc w:val="right"/>
              <w:rPr>
                <w:rFonts w:ascii="Times New Roman" w:hAnsi="Times New Roman"/>
              </w:rPr>
            </w:pPr>
            <w:r>
              <w:rPr>
                <w:rFonts w:ascii="Times New Roman" w:hAnsi="Times New Roman"/>
              </w:rPr>
              <w:t>23.280,00</w:t>
            </w:r>
          </w:p>
        </w:tc>
      </w:tr>
      <w:tr w:rsidR="00F249C9" w:rsidTr="00F249C9">
        <w:trPr>
          <w:cantSplit/>
        </w:trPr>
        <w:tc>
          <w:tcPr>
            <w:tcW w:w="567" w:type="dxa"/>
            <w:tcBorders>
              <w:top w:val="single" w:sz="4" w:space="0" w:color="auto"/>
              <w:left w:val="single" w:sz="4" w:space="0" w:color="auto"/>
              <w:bottom w:val="single" w:sz="4" w:space="0" w:color="auto"/>
              <w:right w:val="single" w:sz="4" w:space="0" w:color="auto"/>
            </w:tcBorders>
            <w:hideMark/>
          </w:tcPr>
          <w:p w:rsidR="00F249C9" w:rsidRDefault="00F249C9">
            <w:pPr>
              <w:jc w:val="both"/>
              <w:rPr>
                <w:rFonts w:ascii="Times New Roman" w:hAnsi="Times New Roman"/>
              </w:rPr>
            </w:pPr>
            <w:r>
              <w:rPr>
                <w:rFonts w:ascii="Times New Roman" w:hAnsi="Times New Roman"/>
              </w:rPr>
              <w:t>2.</w:t>
            </w:r>
          </w:p>
        </w:tc>
        <w:tc>
          <w:tcPr>
            <w:tcW w:w="4820" w:type="dxa"/>
            <w:tcBorders>
              <w:top w:val="single" w:sz="4" w:space="0" w:color="auto"/>
              <w:left w:val="single" w:sz="4" w:space="0" w:color="auto"/>
              <w:bottom w:val="single" w:sz="4" w:space="0" w:color="auto"/>
              <w:right w:val="single" w:sz="4" w:space="0" w:color="auto"/>
            </w:tcBorders>
            <w:hideMark/>
          </w:tcPr>
          <w:p w:rsidR="00F249C9" w:rsidRDefault="00F249C9">
            <w:pPr>
              <w:jc w:val="both"/>
              <w:rPr>
                <w:rFonts w:ascii="Times New Roman" w:hAnsi="Times New Roman"/>
              </w:rPr>
            </w:pPr>
            <w:r>
              <w:rPr>
                <w:rFonts w:ascii="Times New Roman" w:hAnsi="Times New Roman"/>
              </w:rPr>
              <w:t xml:space="preserve"> Fluorescentna svjetiljka, 30 W – EK FS 30 TMK</w:t>
            </w:r>
          </w:p>
        </w:tc>
        <w:tc>
          <w:tcPr>
            <w:tcW w:w="992" w:type="dxa"/>
            <w:tcBorders>
              <w:top w:val="single" w:sz="4" w:space="0" w:color="auto"/>
              <w:left w:val="single" w:sz="4" w:space="0" w:color="auto"/>
              <w:bottom w:val="single" w:sz="4" w:space="0" w:color="auto"/>
              <w:right w:val="single" w:sz="4" w:space="0" w:color="auto"/>
            </w:tcBorders>
            <w:vAlign w:val="center"/>
            <w:hideMark/>
          </w:tcPr>
          <w:p w:rsidR="00F249C9" w:rsidRDefault="00F249C9">
            <w:pPr>
              <w:jc w:val="center"/>
              <w:rPr>
                <w:rFonts w:ascii="Times New Roman" w:hAnsi="Times New Roman"/>
              </w:rPr>
            </w:pPr>
            <w:r>
              <w:rPr>
                <w:rFonts w:ascii="Times New Roman" w:hAnsi="Times New Roman"/>
              </w:rPr>
              <w:t>8</w:t>
            </w:r>
          </w:p>
        </w:tc>
        <w:tc>
          <w:tcPr>
            <w:tcW w:w="1559" w:type="dxa"/>
            <w:tcBorders>
              <w:top w:val="single" w:sz="4" w:space="0" w:color="auto"/>
              <w:left w:val="single" w:sz="4" w:space="0" w:color="auto"/>
              <w:bottom w:val="single" w:sz="4" w:space="0" w:color="auto"/>
              <w:right w:val="single" w:sz="4" w:space="0" w:color="auto"/>
            </w:tcBorders>
            <w:vAlign w:val="center"/>
            <w:hideMark/>
          </w:tcPr>
          <w:p w:rsidR="00F249C9" w:rsidRDefault="00F249C9">
            <w:pPr>
              <w:ind w:left="284"/>
              <w:jc w:val="right"/>
              <w:rPr>
                <w:rFonts w:ascii="Times New Roman" w:hAnsi="Times New Roman"/>
              </w:rPr>
            </w:pPr>
            <w:r>
              <w:rPr>
                <w:rFonts w:ascii="Times New Roman" w:hAnsi="Times New Roman"/>
              </w:rPr>
              <w:t>941,00</w:t>
            </w:r>
          </w:p>
        </w:tc>
        <w:tc>
          <w:tcPr>
            <w:tcW w:w="1559" w:type="dxa"/>
            <w:tcBorders>
              <w:top w:val="single" w:sz="4" w:space="0" w:color="auto"/>
              <w:left w:val="single" w:sz="4" w:space="0" w:color="auto"/>
              <w:bottom w:val="single" w:sz="4" w:space="0" w:color="auto"/>
              <w:right w:val="single" w:sz="4" w:space="0" w:color="auto"/>
            </w:tcBorders>
            <w:vAlign w:val="center"/>
            <w:hideMark/>
          </w:tcPr>
          <w:p w:rsidR="00F249C9" w:rsidRDefault="00F249C9">
            <w:pPr>
              <w:ind w:left="284"/>
              <w:jc w:val="right"/>
              <w:rPr>
                <w:rFonts w:ascii="Times New Roman" w:hAnsi="Times New Roman"/>
              </w:rPr>
            </w:pPr>
            <w:r>
              <w:rPr>
                <w:rFonts w:ascii="Times New Roman" w:hAnsi="Times New Roman"/>
              </w:rPr>
              <w:t>7.528,00</w:t>
            </w:r>
          </w:p>
        </w:tc>
      </w:tr>
      <w:tr w:rsidR="00F249C9" w:rsidTr="00F249C9">
        <w:trPr>
          <w:cantSplit/>
        </w:trPr>
        <w:tc>
          <w:tcPr>
            <w:tcW w:w="567" w:type="dxa"/>
            <w:tcBorders>
              <w:top w:val="single" w:sz="4" w:space="0" w:color="auto"/>
              <w:left w:val="single" w:sz="4" w:space="0" w:color="auto"/>
              <w:bottom w:val="single" w:sz="4" w:space="0" w:color="auto"/>
              <w:right w:val="single" w:sz="4" w:space="0" w:color="auto"/>
            </w:tcBorders>
            <w:hideMark/>
          </w:tcPr>
          <w:p w:rsidR="00F249C9" w:rsidRDefault="00F249C9">
            <w:pPr>
              <w:jc w:val="both"/>
              <w:rPr>
                <w:rFonts w:ascii="Times New Roman" w:hAnsi="Times New Roman"/>
              </w:rPr>
            </w:pPr>
            <w:r>
              <w:rPr>
                <w:rFonts w:ascii="Times New Roman" w:hAnsi="Times New Roman"/>
              </w:rPr>
              <w:t>3.</w:t>
            </w:r>
          </w:p>
        </w:tc>
        <w:tc>
          <w:tcPr>
            <w:tcW w:w="4820" w:type="dxa"/>
            <w:tcBorders>
              <w:top w:val="single" w:sz="4" w:space="0" w:color="auto"/>
              <w:left w:val="single" w:sz="4" w:space="0" w:color="auto"/>
              <w:bottom w:val="single" w:sz="4" w:space="0" w:color="auto"/>
              <w:right w:val="single" w:sz="4" w:space="0" w:color="auto"/>
            </w:tcBorders>
            <w:hideMark/>
          </w:tcPr>
          <w:p w:rsidR="00F249C9" w:rsidRDefault="00F249C9">
            <w:pPr>
              <w:jc w:val="both"/>
              <w:rPr>
                <w:rFonts w:ascii="Times New Roman" w:hAnsi="Times New Roman"/>
              </w:rPr>
            </w:pPr>
            <w:r>
              <w:rPr>
                <w:rFonts w:ascii="Times New Roman" w:hAnsi="Times New Roman"/>
              </w:rPr>
              <w:t xml:space="preserve"> Fluorescentna svjetiljka, 2 x 9 W – EK FSO TMK</w:t>
            </w:r>
          </w:p>
        </w:tc>
        <w:tc>
          <w:tcPr>
            <w:tcW w:w="992" w:type="dxa"/>
            <w:tcBorders>
              <w:top w:val="single" w:sz="4" w:space="0" w:color="auto"/>
              <w:left w:val="single" w:sz="4" w:space="0" w:color="auto"/>
              <w:bottom w:val="single" w:sz="4" w:space="0" w:color="auto"/>
              <w:right w:val="single" w:sz="4" w:space="0" w:color="auto"/>
            </w:tcBorders>
            <w:vAlign w:val="center"/>
            <w:hideMark/>
          </w:tcPr>
          <w:p w:rsidR="00F249C9" w:rsidRDefault="00F249C9">
            <w:pPr>
              <w:jc w:val="center"/>
              <w:rPr>
                <w:rFonts w:ascii="Times New Roman" w:hAnsi="Times New Roman"/>
              </w:rPr>
            </w:pPr>
            <w:r>
              <w:rPr>
                <w:rFonts w:ascii="Times New Roman" w:hAnsi="Times New Roman"/>
              </w:rPr>
              <w:t>1</w:t>
            </w:r>
          </w:p>
        </w:tc>
        <w:tc>
          <w:tcPr>
            <w:tcW w:w="1559" w:type="dxa"/>
            <w:tcBorders>
              <w:top w:val="single" w:sz="4" w:space="0" w:color="auto"/>
              <w:left w:val="single" w:sz="4" w:space="0" w:color="auto"/>
              <w:bottom w:val="single" w:sz="4" w:space="0" w:color="auto"/>
              <w:right w:val="single" w:sz="4" w:space="0" w:color="auto"/>
            </w:tcBorders>
            <w:vAlign w:val="center"/>
            <w:hideMark/>
          </w:tcPr>
          <w:p w:rsidR="00F249C9" w:rsidRDefault="00F249C9">
            <w:pPr>
              <w:ind w:left="284"/>
              <w:jc w:val="right"/>
              <w:rPr>
                <w:rFonts w:ascii="Times New Roman" w:hAnsi="Times New Roman"/>
              </w:rPr>
            </w:pPr>
            <w:r>
              <w:rPr>
                <w:rFonts w:ascii="Times New Roman" w:hAnsi="Times New Roman"/>
              </w:rPr>
              <w:t>875,00</w:t>
            </w:r>
          </w:p>
        </w:tc>
        <w:tc>
          <w:tcPr>
            <w:tcW w:w="1559" w:type="dxa"/>
            <w:tcBorders>
              <w:top w:val="single" w:sz="4" w:space="0" w:color="auto"/>
              <w:left w:val="single" w:sz="4" w:space="0" w:color="auto"/>
              <w:bottom w:val="single" w:sz="4" w:space="0" w:color="auto"/>
              <w:right w:val="single" w:sz="4" w:space="0" w:color="auto"/>
            </w:tcBorders>
            <w:vAlign w:val="center"/>
            <w:hideMark/>
          </w:tcPr>
          <w:p w:rsidR="00F249C9" w:rsidRDefault="00F249C9">
            <w:pPr>
              <w:ind w:left="284"/>
              <w:jc w:val="right"/>
              <w:rPr>
                <w:rFonts w:ascii="Times New Roman" w:hAnsi="Times New Roman"/>
              </w:rPr>
            </w:pPr>
            <w:r>
              <w:rPr>
                <w:rFonts w:ascii="Times New Roman" w:hAnsi="Times New Roman"/>
              </w:rPr>
              <w:t>875,00</w:t>
            </w:r>
          </w:p>
        </w:tc>
      </w:tr>
      <w:tr w:rsidR="00F249C9" w:rsidTr="00F249C9">
        <w:trPr>
          <w:cantSplit/>
        </w:trPr>
        <w:tc>
          <w:tcPr>
            <w:tcW w:w="567" w:type="dxa"/>
            <w:tcBorders>
              <w:top w:val="single" w:sz="4" w:space="0" w:color="auto"/>
              <w:left w:val="single" w:sz="4" w:space="0" w:color="auto"/>
              <w:bottom w:val="single" w:sz="4" w:space="0" w:color="auto"/>
              <w:right w:val="single" w:sz="4" w:space="0" w:color="auto"/>
            </w:tcBorders>
          </w:tcPr>
          <w:p w:rsidR="00F249C9" w:rsidRDefault="00F249C9">
            <w:pPr>
              <w:jc w:val="both"/>
              <w:rPr>
                <w:rFonts w:ascii="Times New Roman" w:hAnsi="Times New Roman"/>
              </w:rPr>
            </w:pPr>
          </w:p>
        </w:tc>
        <w:tc>
          <w:tcPr>
            <w:tcW w:w="4820" w:type="dxa"/>
            <w:tcBorders>
              <w:top w:val="single" w:sz="4" w:space="0" w:color="auto"/>
              <w:left w:val="single" w:sz="4" w:space="0" w:color="auto"/>
              <w:bottom w:val="single" w:sz="4" w:space="0" w:color="auto"/>
              <w:right w:val="single" w:sz="4" w:space="0" w:color="auto"/>
            </w:tcBorders>
          </w:tcPr>
          <w:p w:rsidR="00F249C9" w:rsidRDefault="00F249C9">
            <w:pPr>
              <w:jc w:val="both"/>
              <w:rPr>
                <w:rFonts w:ascii="Times New Roman" w:hAnsi="Times New Roman"/>
              </w:rPr>
            </w:pPr>
          </w:p>
        </w:tc>
        <w:tc>
          <w:tcPr>
            <w:tcW w:w="992" w:type="dxa"/>
            <w:tcBorders>
              <w:top w:val="single" w:sz="4" w:space="0" w:color="auto"/>
              <w:left w:val="single" w:sz="4" w:space="0" w:color="auto"/>
              <w:bottom w:val="single" w:sz="4" w:space="0" w:color="auto"/>
              <w:right w:val="single" w:sz="4" w:space="0" w:color="auto"/>
            </w:tcBorders>
            <w:vAlign w:val="center"/>
          </w:tcPr>
          <w:p w:rsidR="00F249C9" w:rsidRDefault="00F249C9">
            <w:pPr>
              <w:jc w:val="center"/>
              <w:rPr>
                <w:rFonts w:ascii="Times New Roman" w:hAnsi="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F249C9" w:rsidRDefault="00F249C9">
            <w:pPr>
              <w:ind w:left="284"/>
              <w:jc w:val="right"/>
              <w:rPr>
                <w:rFonts w:ascii="Times New Roman" w:hAnsi="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F249C9" w:rsidRDefault="00F249C9">
            <w:pPr>
              <w:ind w:left="284"/>
              <w:jc w:val="right"/>
              <w:rPr>
                <w:rFonts w:ascii="Times New Roman" w:hAnsi="Times New Roman"/>
              </w:rPr>
            </w:pPr>
          </w:p>
        </w:tc>
      </w:tr>
    </w:tbl>
    <w:p w:rsidR="00F249C9" w:rsidRDefault="00F249C9" w:rsidP="001641A5">
      <w:r>
        <w:rPr>
          <w:lang w:eastAsia="hr-HR"/>
        </w:rPr>
        <mc:AlternateContent>
          <mc:Choice Requires="wps">
            <w:drawing>
              <wp:anchor distT="0" distB="0" distL="114300" distR="114300" simplePos="0" relativeHeight="251663360" behindDoc="0" locked="0" layoutInCell="1" allowOverlap="1" wp14:anchorId="200553BF" wp14:editId="076A93F1">
                <wp:simplePos x="0" y="0"/>
                <wp:positionH relativeFrom="column">
                  <wp:posOffset>2560064</wp:posOffset>
                </wp:positionH>
                <wp:positionV relativeFrom="paragraph">
                  <wp:posOffset>95250</wp:posOffset>
                </wp:positionV>
                <wp:extent cx="2374265" cy="1403985"/>
                <wp:effectExtent l="0" t="0" r="19685" b="184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F249C9" w:rsidRDefault="00F249C9">
                            <w:r>
                              <w:t>Tablica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201.6pt;margin-top:7.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" strokecolor="white [3212]">
                <v:textbox style="mso-fit-shape-to-text:t">
                  <w:txbxContent>
                    <w:p w:rsidR="00F249C9" w:rsidRDefault="00F249C9">
                      <w:r>
                        <w:t>Tablica 2</w:t>
                      </w:r>
                    </w:p>
                  </w:txbxContent>
                </v:textbox>
              </v:shape>
            </w:pict>
          </mc:Fallback>
        </mc:AlternateContent>
      </w:r>
    </w:p>
    <w:p w:rsidR="00F249C9" w:rsidRDefault="00F249C9" w:rsidP="00F249C9"/>
    <w:p w:rsidR="00F249C9" w:rsidRDefault="00F249C9" w:rsidP="00F249C9">
      <w:r>
        <w:t xml:space="preserve">Jedinična cijena kompleta opreme </w:t>
      </w:r>
      <w:r>
        <w:t>z</w:t>
      </w:r>
      <w:r>
        <w:t xml:space="preserve">a jedan tramvaj iznosi     </w:t>
      </w:r>
      <w:r>
        <w:rPr>
          <w:b/>
        </w:rPr>
        <w:t>31.683,00 kn.</w:t>
      </w:r>
      <w:r>
        <w:t xml:space="preserve"> </w:t>
      </w:r>
    </w:p>
    <w:p w:rsidR="00F249C9" w:rsidRDefault="00F249C9" w:rsidP="00F249C9">
      <w:pPr>
        <w:rPr>
          <w:b/>
        </w:rPr>
      </w:pPr>
      <w:r>
        <w:t xml:space="preserve">Ukupna cijena kompleta opreme za 70 komada tramvaja je </w:t>
      </w:r>
      <w:r>
        <w:rPr>
          <w:b/>
        </w:rPr>
        <w:t>2.217.810,00 kn</w:t>
      </w:r>
    </w:p>
    <w:p w:rsidR="00F249C9" w:rsidRDefault="00F249C9" w:rsidP="00F249C9">
      <w:pPr>
        <w:rPr>
          <w:b/>
        </w:rPr>
      </w:pPr>
    </w:p>
    <w:p w:rsidR="00F249C9" w:rsidRPr="00F249C9" w:rsidRDefault="00F249C9" w:rsidP="00F249C9">
      <w:r>
        <w:rPr>
          <w:b/>
        </w:rPr>
        <w:t xml:space="preserve">PDV </w:t>
      </w:r>
      <w:r>
        <w:t xml:space="preserve">nije uračuat u cijenu, nego ga je isporučitelj dužan uračunati naknadno. Ukoliko se nauričtelj odluči za naručivanje dodatnih kompleta opreme, u </w:t>
      </w:r>
      <w:r>
        <w:lastRenderedPageBreak/>
        <w:t>ugovoru je definirana posebna stavka koja im jamči istu cijenu kao i za sve ostale narudžbe, a isporučitelj je dužan dostaviti traženu robu.</w:t>
      </w:r>
    </w:p>
    <w:p w:rsidR="00F249C9" w:rsidRDefault="00F249C9" w:rsidP="00F249C9">
      <w:pPr>
        <w:pStyle w:val="Heading3"/>
      </w:pPr>
      <w:bookmarkStart w:id="10" w:name="_Toc385175780"/>
      <w:r>
        <w:t>2.3.1 Način plaćanja</w:t>
      </w:r>
      <w:r w:rsidR="00E6004E">
        <w:rPr>
          <w:rStyle w:val="FootnoteReference"/>
        </w:rPr>
        <w:footnoteReference w:id="6"/>
      </w:r>
      <w:bookmarkEnd w:id="10"/>
      <w:r>
        <w:t xml:space="preserve"> </w:t>
      </w:r>
    </w:p>
    <w:p w:rsidR="00F249C9" w:rsidRDefault="00F249C9" w:rsidP="00F249C9"/>
    <w:p w:rsidR="00F249C9" w:rsidRPr="00F249C9" w:rsidRDefault="00F249C9" w:rsidP="00F249C9">
      <w:pPr>
        <w:numPr>
          <w:ilvl w:val="0"/>
          <w:numId w:val="4"/>
        </w:numPr>
        <w:spacing w:after="0" w:line="240" w:lineRule="auto"/>
        <w:rPr>
          <w:rFonts w:asciiTheme="majorHAnsi" w:hAnsiTheme="majorHAnsi"/>
        </w:rPr>
      </w:pPr>
      <w:r w:rsidRPr="00F249C9">
        <w:rPr>
          <w:rFonts w:asciiTheme="majorHAnsi" w:hAnsiTheme="majorHAnsi"/>
        </w:rPr>
        <w:t>95 % jedinične cijene svakog kompleta opreme u  roku od 90 dana od isporuke svakog kompleta opreme i ispostavljanja fakture u iznosu od 30.098,85 kn</w:t>
      </w:r>
    </w:p>
    <w:p w:rsidR="00F249C9" w:rsidRPr="00F249C9" w:rsidRDefault="00F249C9" w:rsidP="00F249C9">
      <w:pPr>
        <w:ind w:left="6120"/>
        <w:jc w:val="right"/>
        <w:rPr>
          <w:rFonts w:asciiTheme="majorHAnsi" w:hAnsiTheme="majorHAnsi"/>
          <w:b/>
        </w:rPr>
      </w:pPr>
      <w:r>
        <w:rPr>
          <w:rFonts w:asciiTheme="majorHAnsi" w:hAnsiTheme="majorHAnsi"/>
        </w:rPr>
        <w:t>D</w:t>
      </w:r>
      <w:r w:rsidRPr="00F249C9">
        <w:rPr>
          <w:rFonts w:asciiTheme="majorHAnsi" w:hAnsiTheme="majorHAnsi"/>
        </w:rPr>
        <w:t xml:space="preserve">o ukupno </w:t>
      </w:r>
      <w:r w:rsidRPr="00F249C9">
        <w:rPr>
          <w:rFonts w:asciiTheme="majorHAnsi" w:hAnsiTheme="majorHAnsi"/>
          <w:b/>
        </w:rPr>
        <w:t>2.106.919,50 kn</w:t>
      </w:r>
    </w:p>
    <w:p w:rsidR="00F249C9" w:rsidRPr="00F249C9" w:rsidRDefault="00F249C9" w:rsidP="00F249C9">
      <w:pPr>
        <w:numPr>
          <w:ilvl w:val="0"/>
          <w:numId w:val="4"/>
        </w:numPr>
        <w:spacing w:after="0" w:line="240" w:lineRule="auto"/>
        <w:jc w:val="both"/>
        <w:rPr>
          <w:rFonts w:asciiTheme="majorHAnsi" w:hAnsiTheme="majorHAnsi"/>
        </w:rPr>
      </w:pPr>
      <w:r w:rsidRPr="00F249C9">
        <w:rPr>
          <w:rFonts w:ascii="Times New Roman" w:hAnsi="Times New Roman"/>
          <w:b/>
        </w:rPr>
        <w:t xml:space="preserve"> </w:t>
      </w:r>
      <w:r w:rsidRPr="00F249C9">
        <w:rPr>
          <w:rFonts w:asciiTheme="majorHAnsi" w:hAnsiTheme="majorHAnsi"/>
        </w:rPr>
        <w:t xml:space="preserve">5 % jedinične cijene svakog kompleta opreme u roku od 30 dana po isteku garantnog perioda za tramvaje u koji su ugrađeni ovi kompleti (umanjeno za eventualni trošak u smislu garancije za dobro izvršenje posla)   u iznosu od 1.584,15 kn    </w:t>
      </w:r>
    </w:p>
    <w:p w:rsidR="00F249C9" w:rsidRDefault="00F249C9" w:rsidP="00F249C9">
      <w:pPr>
        <w:ind w:left="1770"/>
        <w:jc w:val="right"/>
        <w:rPr>
          <w:rFonts w:asciiTheme="majorHAnsi" w:hAnsiTheme="majorHAnsi"/>
          <w:szCs w:val="24"/>
        </w:rPr>
      </w:pPr>
      <w:r>
        <w:rPr>
          <w:rFonts w:asciiTheme="majorHAnsi" w:hAnsiTheme="majorHAnsi"/>
          <w:szCs w:val="24"/>
        </w:rPr>
        <w:t>Do ukupno</w:t>
      </w:r>
    </w:p>
    <w:p w:rsidR="00F249C9" w:rsidRPr="00F249C9" w:rsidRDefault="00F249C9" w:rsidP="00F249C9">
      <w:pPr>
        <w:ind w:left="1770"/>
        <w:jc w:val="right"/>
        <w:rPr>
          <w:rFonts w:asciiTheme="majorHAnsi" w:hAnsiTheme="majorHAnsi"/>
          <w:b/>
          <w:szCs w:val="24"/>
        </w:rPr>
      </w:pPr>
      <w:r>
        <w:rPr>
          <w:rFonts w:asciiTheme="majorHAnsi" w:hAnsiTheme="majorHAnsi"/>
          <w:szCs w:val="24"/>
        </w:rPr>
        <w:t xml:space="preserve"> </w:t>
      </w:r>
      <w:r w:rsidRPr="00F249C9">
        <w:rPr>
          <w:rFonts w:asciiTheme="majorHAnsi" w:hAnsiTheme="majorHAnsi"/>
          <w:b/>
          <w:szCs w:val="24"/>
        </w:rPr>
        <w:t>110.890,50 kn</w:t>
      </w:r>
    </w:p>
    <w:p w:rsidR="00E6004E" w:rsidRDefault="00E6004E">
      <w:r>
        <w:br w:type="page"/>
      </w:r>
    </w:p>
    <w:p w:rsidR="00F249C9" w:rsidRDefault="00E6004E" w:rsidP="00E6004E">
      <w:pPr>
        <w:pStyle w:val="Heading1"/>
      </w:pPr>
      <w:bookmarkStart w:id="11" w:name="_Toc385175781"/>
      <w:r>
        <w:lastRenderedPageBreak/>
        <w:t xml:space="preserve">3. </w:t>
      </w:r>
      <w:r w:rsidR="00C93BDA">
        <w:t>ZAKLJUČAK</w:t>
      </w:r>
      <w:bookmarkEnd w:id="11"/>
    </w:p>
    <w:p w:rsidR="00E6004E" w:rsidRDefault="00E6004E" w:rsidP="00E6004E"/>
    <w:p w:rsidR="00E6004E" w:rsidRDefault="00C93BDA" w:rsidP="00E6004E">
      <w:r>
        <w:t xml:space="preserve">Analizirani ugovor je jako dobar primjer u kojem naručitelj može diktirati uvjete isporučitelju, pogotovo u slučajevima kada je taj isporučitelj manja, slabija tvrtka. Međutim, ugovor potpisuju dvije strane, i obje se obvezuju na ispunjavanje svog dijela obaveze.  Poput odnosa elektrokem-končar, tako je i končar u odnosu na svog naručitelja mala tvrtka, te je kroz ovakve ugovore nužno osigurati se da će posao ići u smjeru koji se može kontrolirati i koji će, u slučaju kašnjenja ili nedostataka ipak garantirati nekakve nadoknade štete. </w:t>
      </w:r>
    </w:p>
    <w:p w:rsidR="00C93BDA" w:rsidRDefault="00C93BDA" w:rsidP="00E6004E">
      <w:r>
        <w:t>Iz svega ovoga jasno je vidljivo koliko je kupoprodajni, odnosno bilo kakav drugi ugovor, bitan dio današnjeg društva. Jer je on pisani dokaz, potvrda obaveza koje smo prihvatili, te jamstvo da obje strane mogu proći kao dobitnici iz međusobnog posla.</w:t>
      </w:r>
    </w:p>
    <w:p w:rsidR="00C93BDA" w:rsidRDefault="00C93BDA">
      <w:r>
        <w:br w:type="page"/>
      </w:r>
    </w:p>
    <w:p w:rsidR="00C93BDA" w:rsidRDefault="00C93BDA" w:rsidP="00C93BDA">
      <w:pPr>
        <w:pStyle w:val="Heading1"/>
      </w:pPr>
      <w:bookmarkStart w:id="12" w:name="_Toc385175782"/>
      <w:r>
        <w:lastRenderedPageBreak/>
        <w:t>4. LITERATURA</w:t>
      </w:r>
      <w:bookmarkEnd w:id="12"/>
    </w:p>
    <w:p w:rsidR="00C93BDA" w:rsidRDefault="00C93BDA" w:rsidP="00C93BDA"/>
    <w:p w:rsidR="00C93BDA" w:rsidRDefault="00C93BDA" w:rsidP="00C93BDA">
      <w:pPr>
        <w:pStyle w:val="ListParagraph"/>
        <w:numPr>
          <w:ilvl w:val="0"/>
          <w:numId w:val="5"/>
        </w:numPr>
      </w:pPr>
      <w:r>
        <w:t xml:space="preserve">Ugovor Elektrokem-Končar </w:t>
      </w:r>
      <w:r w:rsidRPr="00C93BDA">
        <w:t>Broj  370 – 2271-024</w:t>
      </w:r>
    </w:p>
    <w:p w:rsidR="00C93BDA" w:rsidRDefault="00C93BDA" w:rsidP="00C93BDA">
      <w:pPr>
        <w:pStyle w:val="ListParagraph"/>
        <w:numPr>
          <w:ilvl w:val="0"/>
          <w:numId w:val="5"/>
        </w:numPr>
      </w:pPr>
      <w:r>
        <w:t>Horak, Dumančić, Preložnjak, Šafranko: ''Uvod u trgovačko pravo''</w:t>
      </w:r>
      <w:r>
        <w:t>, Zagreb,2011 , 131-138</w:t>
      </w:r>
    </w:p>
    <w:p w:rsidR="00C93BDA" w:rsidRDefault="00C93BDA" w:rsidP="00C93BDA">
      <w:pPr>
        <w:pStyle w:val="ListParagraph"/>
        <w:numPr>
          <w:ilvl w:val="0"/>
          <w:numId w:val="5"/>
        </w:numPr>
      </w:pPr>
      <w:r>
        <w:t>Wikipedia</w:t>
      </w:r>
    </w:p>
    <w:p w:rsidR="00C93BDA" w:rsidRPr="00C93BDA" w:rsidRDefault="00C93BDA" w:rsidP="00C93BDA">
      <w:pPr>
        <w:ind w:left="360"/>
      </w:pPr>
    </w:p>
    <w:sectPr w:rsidR="00C93BDA" w:rsidRPr="00C93B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901" w:rsidRDefault="00634901" w:rsidP="008A7630">
      <w:pPr>
        <w:spacing w:after="0" w:line="240" w:lineRule="auto"/>
      </w:pPr>
      <w:r>
        <w:separator/>
      </w:r>
    </w:p>
  </w:endnote>
  <w:endnote w:type="continuationSeparator" w:id="0">
    <w:p w:rsidR="00634901" w:rsidRDefault="00634901" w:rsidP="008A7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781194548"/>
      <w:docPartObj>
        <w:docPartGallery w:val="Page Numbers (Bottom of Page)"/>
        <w:docPartUnique/>
      </w:docPartObj>
    </w:sdtPr>
    <w:sdtEndPr>
      <w:rPr>
        <w:noProof/>
      </w:rPr>
    </w:sdtEndPr>
    <w:sdtContent>
      <w:p w:rsidR="00285A1E" w:rsidRDefault="00285A1E">
        <w:pPr>
          <w:pStyle w:val="Footer"/>
          <w:jc w:val="center"/>
        </w:pPr>
        <w:r>
          <w:rPr>
            <w:noProof w:val="0"/>
          </w:rPr>
          <w:fldChar w:fldCharType="begin"/>
        </w:r>
        <w:r>
          <w:instrText xml:space="preserve"> PAGE   \* MERGEFORMAT </w:instrText>
        </w:r>
        <w:r>
          <w:rPr>
            <w:noProof w:val="0"/>
          </w:rPr>
          <w:fldChar w:fldCharType="separate"/>
        </w:r>
        <w:r w:rsidR="0059528C">
          <w:t>9</w:t>
        </w:r>
        <w:r>
          <w:fldChar w:fldCharType="end"/>
        </w:r>
      </w:p>
    </w:sdtContent>
  </w:sdt>
  <w:p w:rsidR="00C93BDA" w:rsidRDefault="00C93B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901" w:rsidRDefault="00634901" w:rsidP="008A7630">
      <w:pPr>
        <w:spacing w:after="0" w:line="240" w:lineRule="auto"/>
      </w:pPr>
      <w:r>
        <w:separator/>
      </w:r>
    </w:p>
  </w:footnote>
  <w:footnote w:type="continuationSeparator" w:id="0">
    <w:p w:rsidR="00634901" w:rsidRDefault="00634901" w:rsidP="008A7630">
      <w:pPr>
        <w:spacing w:after="0" w:line="240" w:lineRule="auto"/>
      </w:pPr>
      <w:r>
        <w:continuationSeparator/>
      </w:r>
    </w:p>
  </w:footnote>
  <w:footnote w:id="1">
    <w:p w:rsidR="0014244C" w:rsidRDefault="0014244C">
      <w:pPr>
        <w:pStyle w:val="FootnoteText"/>
      </w:pPr>
      <w:r>
        <w:rPr>
          <w:rStyle w:val="FootnoteReference"/>
        </w:rPr>
        <w:footnoteRef/>
      </w:r>
      <w:r>
        <w:t xml:space="preserve"> </w:t>
      </w:r>
      <w:r>
        <w:t xml:space="preserve">Izvadak iz ugovora Končar-Elektrokem </w:t>
      </w:r>
      <w:r w:rsidRPr="0014244C">
        <w:t>Broj  370 – 2271-024</w:t>
      </w:r>
      <w:r w:rsidR="001641A5">
        <w:t>, stavak 1 Predmet ugovora</w:t>
      </w:r>
    </w:p>
  </w:footnote>
  <w:footnote w:id="2">
    <w:p w:rsidR="0014244C" w:rsidRDefault="0014244C">
      <w:pPr>
        <w:pStyle w:val="FootnoteText"/>
      </w:pPr>
      <w:r>
        <w:rPr>
          <w:rStyle w:val="FootnoteReference"/>
        </w:rPr>
        <w:footnoteRef/>
      </w:r>
      <w:r>
        <w:t xml:space="preserve">  Izvadak iz ugovora Končar-Elektrokem </w:t>
      </w:r>
      <w:r w:rsidRPr="0014244C">
        <w:t>Broj  370 – 2271-024</w:t>
      </w:r>
      <w:r w:rsidR="001641A5">
        <w:t>,  stavak 2 Rokovi</w:t>
      </w:r>
    </w:p>
  </w:footnote>
  <w:footnote w:id="3">
    <w:p w:rsidR="00011A21" w:rsidRDefault="00011A21">
      <w:pPr>
        <w:pStyle w:val="FootnoteText"/>
      </w:pPr>
      <w:r>
        <w:rPr>
          <w:rStyle w:val="FootnoteReference"/>
        </w:rPr>
        <w:footnoteRef/>
      </w:r>
      <w:r>
        <w:t xml:space="preserve"> </w:t>
      </w:r>
      <w:r>
        <w:t xml:space="preserve">Izvadak iz ugovora Končar-Elektrokem </w:t>
      </w:r>
      <w:r w:rsidRPr="0014244C">
        <w:t>Broj  370 – 2271-024</w:t>
      </w:r>
      <w:r w:rsidR="001641A5">
        <w:t>, stavak 8 Ugovorne kazne</w:t>
      </w:r>
    </w:p>
  </w:footnote>
  <w:footnote w:id="4">
    <w:p w:rsidR="001641A5" w:rsidRDefault="001641A5">
      <w:pPr>
        <w:pStyle w:val="FootnoteText"/>
      </w:pPr>
      <w:r>
        <w:rPr>
          <w:rStyle w:val="FootnoteReference"/>
        </w:rPr>
        <w:footnoteRef/>
      </w:r>
      <w:r>
        <w:t xml:space="preserve"> Definicija više sile i postupak u slučaju zahtjeva za raskidanje ugovora, stavak 9 Viša sila</w:t>
      </w:r>
    </w:p>
  </w:footnote>
  <w:footnote w:id="5">
    <w:p w:rsidR="00F249C9" w:rsidRDefault="00F249C9">
      <w:pPr>
        <w:pStyle w:val="FootnoteText"/>
      </w:pPr>
      <w:r>
        <w:rPr>
          <w:rStyle w:val="FootnoteReference"/>
        </w:rPr>
        <w:footnoteRef/>
      </w:r>
      <w:r>
        <w:t xml:space="preserve"> Izvadak iz ugovora, Talblica cijena jednog paketa opreme, stavak 3 Cijene</w:t>
      </w:r>
    </w:p>
  </w:footnote>
  <w:footnote w:id="6">
    <w:p w:rsidR="00E6004E" w:rsidRDefault="00E6004E">
      <w:pPr>
        <w:pStyle w:val="FootnoteText"/>
      </w:pPr>
      <w:r>
        <w:rPr>
          <w:rStyle w:val="FootnoteReference"/>
        </w:rPr>
        <w:footnoteRef/>
      </w:r>
      <w:r>
        <w:t xml:space="preserve"> Stavak 4 Način plaćanja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B1ABD"/>
    <w:multiLevelType w:val="hybridMultilevel"/>
    <w:tmpl w:val="06D8EDC8"/>
    <w:lvl w:ilvl="0" w:tplc="041A0001">
      <w:start w:val="1"/>
      <w:numFmt w:val="bullet"/>
      <w:lvlText w:val=""/>
      <w:lvlJc w:val="left"/>
      <w:pPr>
        <w:tabs>
          <w:tab w:val="num" w:pos="720"/>
        </w:tabs>
        <w:ind w:left="720" w:hanging="360"/>
      </w:pPr>
      <w:rPr>
        <w:rFonts w:ascii="Symbol" w:hAnsi="Symbol" w:hint="default"/>
      </w:rPr>
    </w:lvl>
    <w:lvl w:ilvl="1" w:tplc="041A0003">
      <w:start w:val="1"/>
      <w:numFmt w:val="bullet"/>
      <w:lvlText w:val="o"/>
      <w:lvlJc w:val="left"/>
      <w:pPr>
        <w:tabs>
          <w:tab w:val="num" w:pos="1440"/>
        </w:tabs>
        <w:ind w:left="1440" w:hanging="360"/>
      </w:pPr>
      <w:rPr>
        <w:rFonts w:ascii="Courier New" w:hAnsi="Courier New" w:cs="Courier New" w:hint="default"/>
      </w:rPr>
    </w:lvl>
    <w:lvl w:ilvl="2" w:tplc="041A0005">
      <w:start w:val="1"/>
      <w:numFmt w:val="bullet"/>
      <w:lvlText w:val=""/>
      <w:lvlJc w:val="left"/>
      <w:pPr>
        <w:tabs>
          <w:tab w:val="num" w:pos="2160"/>
        </w:tabs>
        <w:ind w:left="2160" w:hanging="360"/>
      </w:pPr>
      <w:rPr>
        <w:rFonts w:ascii="Wingdings" w:hAnsi="Wingdings" w:hint="default"/>
      </w:rPr>
    </w:lvl>
    <w:lvl w:ilvl="3" w:tplc="041A0001">
      <w:start w:val="1"/>
      <w:numFmt w:val="bullet"/>
      <w:lvlText w:val=""/>
      <w:lvlJc w:val="left"/>
      <w:pPr>
        <w:tabs>
          <w:tab w:val="num" w:pos="2880"/>
        </w:tabs>
        <w:ind w:left="2880" w:hanging="360"/>
      </w:pPr>
      <w:rPr>
        <w:rFonts w:ascii="Symbol" w:hAnsi="Symbol" w:hint="default"/>
      </w:rPr>
    </w:lvl>
    <w:lvl w:ilvl="4" w:tplc="041A0003">
      <w:start w:val="1"/>
      <w:numFmt w:val="bullet"/>
      <w:lvlText w:val="o"/>
      <w:lvlJc w:val="left"/>
      <w:pPr>
        <w:tabs>
          <w:tab w:val="num" w:pos="3600"/>
        </w:tabs>
        <w:ind w:left="3600" w:hanging="360"/>
      </w:pPr>
      <w:rPr>
        <w:rFonts w:ascii="Courier New" w:hAnsi="Courier New" w:cs="Courier New" w:hint="default"/>
      </w:rPr>
    </w:lvl>
    <w:lvl w:ilvl="5" w:tplc="041A0005">
      <w:start w:val="1"/>
      <w:numFmt w:val="bullet"/>
      <w:lvlText w:val=""/>
      <w:lvlJc w:val="left"/>
      <w:pPr>
        <w:tabs>
          <w:tab w:val="num" w:pos="4320"/>
        </w:tabs>
        <w:ind w:left="4320" w:hanging="360"/>
      </w:pPr>
      <w:rPr>
        <w:rFonts w:ascii="Wingdings" w:hAnsi="Wingdings" w:hint="default"/>
      </w:rPr>
    </w:lvl>
    <w:lvl w:ilvl="6" w:tplc="041A0001">
      <w:start w:val="1"/>
      <w:numFmt w:val="bullet"/>
      <w:lvlText w:val=""/>
      <w:lvlJc w:val="left"/>
      <w:pPr>
        <w:tabs>
          <w:tab w:val="num" w:pos="5040"/>
        </w:tabs>
        <w:ind w:left="5040" w:hanging="360"/>
      </w:pPr>
      <w:rPr>
        <w:rFonts w:ascii="Symbol" w:hAnsi="Symbol" w:hint="default"/>
      </w:rPr>
    </w:lvl>
    <w:lvl w:ilvl="7" w:tplc="041A0003">
      <w:start w:val="1"/>
      <w:numFmt w:val="bullet"/>
      <w:lvlText w:val="o"/>
      <w:lvlJc w:val="left"/>
      <w:pPr>
        <w:tabs>
          <w:tab w:val="num" w:pos="5760"/>
        </w:tabs>
        <w:ind w:left="5760" w:hanging="360"/>
      </w:pPr>
      <w:rPr>
        <w:rFonts w:ascii="Courier New" w:hAnsi="Courier New" w:cs="Courier New" w:hint="default"/>
      </w:rPr>
    </w:lvl>
    <w:lvl w:ilvl="8" w:tplc="041A0005">
      <w:start w:val="1"/>
      <w:numFmt w:val="bullet"/>
      <w:lvlText w:val=""/>
      <w:lvlJc w:val="left"/>
      <w:pPr>
        <w:tabs>
          <w:tab w:val="num" w:pos="6480"/>
        </w:tabs>
        <w:ind w:left="6480" w:hanging="360"/>
      </w:pPr>
      <w:rPr>
        <w:rFonts w:ascii="Wingdings" w:hAnsi="Wingdings" w:hint="default"/>
      </w:rPr>
    </w:lvl>
  </w:abstractNum>
  <w:abstractNum w:abstractNumId="1">
    <w:nsid w:val="12935089"/>
    <w:multiLevelType w:val="hybridMultilevel"/>
    <w:tmpl w:val="F29CF6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2FD94CCF"/>
    <w:multiLevelType w:val="hybridMultilevel"/>
    <w:tmpl w:val="DD7C63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50AA59C5"/>
    <w:multiLevelType w:val="hybridMultilevel"/>
    <w:tmpl w:val="CBB0C704"/>
    <w:lvl w:ilvl="0" w:tplc="041A000F">
      <w:start w:val="1"/>
      <w:numFmt w:val="decimal"/>
      <w:lvlText w:val="%1."/>
      <w:lvlJc w:val="left"/>
      <w:pPr>
        <w:ind w:left="720" w:hanging="360"/>
      </w:pPr>
      <w:rPr>
        <w:rFonts w:hint="default"/>
      </w:rPr>
    </w:lvl>
    <w:lvl w:ilvl="1" w:tplc="041A000F">
      <w:start w:val="1"/>
      <w:numFmt w:val="decimal"/>
      <w:lvlText w:val="%2."/>
      <w:lvlJc w:val="left"/>
      <w:pPr>
        <w:ind w:left="1637"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7C923558"/>
    <w:multiLevelType w:val="hybridMultilevel"/>
    <w:tmpl w:val="DFD69A0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lvlOverride w:ilvl="0"/>
    <w:lvlOverride w:ilvl="1"/>
    <w:lvlOverride w:ilvl="2"/>
    <w:lvlOverride w:ilvl="3"/>
    <w:lvlOverride w:ilvl="4"/>
    <w:lvlOverride w:ilvl="5"/>
    <w:lvlOverride w:ilvl="6"/>
    <w:lvlOverride w:ilvl="7"/>
    <w:lvlOverride w:ilvl="8"/>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40F"/>
    <w:rsid w:val="00011A21"/>
    <w:rsid w:val="0014244C"/>
    <w:rsid w:val="001641A5"/>
    <w:rsid w:val="001F7998"/>
    <w:rsid w:val="00285A1E"/>
    <w:rsid w:val="002D5D54"/>
    <w:rsid w:val="00497C4E"/>
    <w:rsid w:val="00521491"/>
    <w:rsid w:val="00533344"/>
    <w:rsid w:val="0059528C"/>
    <w:rsid w:val="00634901"/>
    <w:rsid w:val="00743929"/>
    <w:rsid w:val="008A7630"/>
    <w:rsid w:val="00AB5647"/>
    <w:rsid w:val="00B6440F"/>
    <w:rsid w:val="00BE350A"/>
    <w:rsid w:val="00C93BDA"/>
    <w:rsid w:val="00D4537D"/>
    <w:rsid w:val="00DC6B2F"/>
    <w:rsid w:val="00E6004E"/>
    <w:rsid w:val="00F249C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647"/>
    <w:rPr>
      <w:noProof/>
      <w:sz w:val="28"/>
    </w:rPr>
  </w:style>
  <w:style w:type="paragraph" w:styleId="Heading1">
    <w:name w:val="heading 1"/>
    <w:basedOn w:val="Normal"/>
    <w:next w:val="Normal"/>
    <w:link w:val="Heading1Char"/>
    <w:uiPriority w:val="9"/>
    <w:qFormat/>
    <w:rsid w:val="00521491"/>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521491"/>
    <w:pPr>
      <w:keepNext/>
      <w:keepLines/>
      <w:spacing w:before="200" w:after="0"/>
      <w:outlineLvl w:val="1"/>
    </w:pPr>
    <w:rPr>
      <w:rFonts w:ascii="Arial" w:eastAsiaTheme="majorEastAsia" w:hAnsi="Arial" w:cstheme="majorBidi"/>
      <w:b/>
      <w:bCs/>
      <w:sz w:val="36"/>
      <w:szCs w:val="26"/>
    </w:rPr>
  </w:style>
  <w:style w:type="paragraph" w:styleId="Heading3">
    <w:name w:val="heading 3"/>
    <w:basedOn w:val="Normal"/>
    <w:next w:val="Normal"/>
    <w:link w:val="Heading3Char"/>
    <w:uiPriority w:val="9"/>
    <w:unhideWhenUsed/>
    <w:qFormat/>
    <w:rsid w:val="00D4537D"/>
    <w:pPr>
      <w:keepNext/>
      <w:keepLines/>
      <w:spacing w:before="200" w:after="0"/>
      <w:outlineLvl w:val="2"/>
    </w:pPr>
    <w:rPr>
      <w:rFonts w:asciiTheme="majorHAnsi" w:eastAsiaTheme="majorEastAsia" w:hAnsiTheme="majorHAnsi" w:cstheme="majorBidi"/>
      <w:b/>
      <w:bCs/>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6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7630"/>
    <w:rPr>
      <w:noProof/>
    </w:rPr>
  </w:style>
  <w:style w:type="paragraph" w:styleId="Footer">
    <w:name w:val="footer"/>
    <w:basedOn w:val="Normal"/>
    <w:link w:val="FooterChar"/>
    <w:uiPriority w:val="99"/>
    <w:unhideWhenUsed/>
    <w:rsid w:val="008A76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7630"/>
    <w:rPr>
      <w:noProof/>
    </w:rPr>
  </w:style>
  <w:style w:type="paragraph" w:styleId="ListParagraph">
    <w:name w:val="List Paragraph"/>
    <w:basedOn w:val="Normal"/>
    <w:uiPriority w:val="34"/>
    <w:qFormat/>
    <w:rsid w:val="00533344"/>
    <w:pPr>
      <w:ind w:left="720"/>
      <w:contextualSpacing/>
    </w:pPr>
  </w:style>
  <w:style w:type="character" w:customStyle="1" w:styleId="Heading1Char">
    <w:name w:val="Heading 1 Char"/>
    <w:basedOn w:val="DefaultParagraphFont"/>
    <w:link w:val="Heading1"/>
    <w:uiPriority w:val="9"/>
    <w:rsid w:val="00521491"/>
    <w:rPr>
      <w:rFonts w:ascii="Arial" w:eastAsiaTheme="majorEastAsia" w:hAnsi="Arial" w:cstheme="majorBidi"/>
      <w:b/>
      <w:bCs/>
      <w:noProof/>
      <w:sz w:val="44"/>
      <w:szCs w:val="28"/>
    </w:rPr>
  </w:style>
  <w:style w:type="character" w:customStyle="1" w:styleId="Heading2Char">
    <w:name w:val="Heading 2 Char"/>
    <w:basedOn w:val="DefaultParagraphFont"/>
    <w:link w:val="Heading2"/>
    <w:uiPriority w:val="9"/>
    <w:rsid w:val="00521491"/>
    <w:rPr>
      <w:rFonts w:ascii="Arial" w:eastAsiaTheme="majorEastAsia" w:hAnsi="Arial" w:cstheme="majorBidi"/>
      <w:b/>
      <w:bCs/>
      <w:noProof/>
      <w:sz w:val="36"/>
      <w:szCs w:val="26"/>
    </w:rPr>
  </w:style>
  <w:style w:type="paragraph" w:styleId="BalloonText">
    <w:name w:val="Balloon Text"/>
    <w:basedOn w:val="Normal"/>
    <w:link w:val="BalloonTextChar"/>
    <w:uiPriority w:val="99"/>
    <w:semiHidden/>
    <w:unhideWhenUsed/>
    <w:rsid w:val="00743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929"/>
    <w:rPr>
      <w:rFonts w:ascii="Tahoma" w:hAnsi="Tahoma" w:cs="Tahoma"/>
      <w:noProof/>
      <w:sz w:val="16"/>
      <w:szCs w:val="16"/>
    </w:rPr>
  </w:style>
  <w:style w:type="paragraph" w:styleId="FootnoteText">
    <w:name w:val="footnote text"/>
    <w:basedOn w:val="Normal"/>
    <w:link w:val="FootnoteTextChar"/>
    <w:uiPriority w:val="99"/>
    <w:semiHidden/>
    <w:unhideWhenUsed/>
    <w:rsid w:val="001424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244C"/>
    <w:rPr>
      <w:noProof/>
      <w:sz w:val="20"/>
      <w:szCs w:val="20"/>
    </w:rPr>
  </w:style>
  <w:style w:type="character" w:styleId="FootnoteReference">
    <w:name w:val="footnote reference"/>
    <w:basedOn w:val="DefaultParagraphFont"/>
    <w:uiPriority w:val="99"/>
    <w:semiHidden/>
    <w:unhideWhenUsed/>
    <w:rsid w:val="0014244C"/>
    <w:rPr>
      <w:vertAlign w:val="superscript"/>
    </w:rPr>
  </w:style>
  <w:style w:type="character" w:customStyle="1" w:styleId="Heading3Char">
    <w:name w:val="Heading 3 Char"/>
    <w:basedOn w:val="DefaultParagraphFont"/>
    <w:link w:val="Heading3"/>
    <w:uiPriority w:val="9"/>
    <w:rsid w:val="00D4537D"/>
    <w:rPr>
      <w:rFonts w:asciiTheme="majorHAnsi" w:eastAsiaTheme="majorEastAsia" w:hAnsiTheme="majorHAnsi" w:cstheme="majorBidi"/>
      <w:b/>
      <w:bCs/>
      <w:noProof/>
      <w:sz w:val="32"/>
    </w:rPr>
  </w:style>
  <w:style w:type="paragraph" w:styleId="TOC1">
    <w:name w:val="toc 1"/>
    <w:basedOn w:val="Normal"/>
    <w:next w:val="Normal"/>
    <w:autoRedefine/>
    <w:uiPriority w:val="39"/>
    <w:unhideWhenUsed/>
    <w:rsid w:val="00285A1E"/>
    <w:pPr>
      <w:spacing w:after="100"/>
    </w:pPr>
  </w:style>
  <w:style w:type="paragraph" w:styleId="TOC2">
    <w:name w:val="toc 2"/>
    <w:basedOn w:val="Normal"/>
    <w:next w:val="Normal"/>
    <w:autoRedefine/>
    <w:uiPriority w:val="39"/>
    <w:unhideWhenUsed/>
    <w:rsid w:val="00285A1E"/>
    <w:pPr>
      <w:spacing w:after="100"/>
      <w:ind w:left="280"/>
    </w:pPr>
  </w:style>
  <w:style w:type="paragraph" w:styleId="TOC3">
    <w:name w:val="toc 3"/>
    <w:basedOn w:val="Normal"/>
    <w:next w:val="Normal"/>
    <w:autoRedefine/>
    <w:uiPriority w:val="39"/>
    <w:unhideWhenUsed/>
    <w:rsid w:val="00285A1E"/>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647"/>
    <w:rPr>
      <w:noProof/>
      <w:sz w:val="28"/>
    </w:rPr>
  </w:style>
  <w:style w:type="paragraph" w:styleId="Heading1">
    <w:name w:val="heading 1"/>
    <w:basedOn w:val="Normal"/>
    <w:next w:val="Normal"/>
    <w:link w:val="Heading1Char"/>
    <w:uiPriority w:val="9"/>
    <w:qFormat/>
    <w:rsid w:val="00521491"/>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521491"/>
    <w:pPr>
      <w:keepNext/>
      <w:keepLines/>
      <w:spacing w:before="200" w:after="0"/>
      <w:outlineLvl w:val="1"/>
    </w:pPr>
    <w:rPr>
      <w:rFonts w:ascii="Arial" w:eastAsiaTheme="majorEastAsia" w:hAnsi="Arial" w:cstheme="majorBidi"/>
      <w:b/>
      <w:bCs/>
      <w:sz w:val="36"/>
      <w:szCs w:val="26"/>
    </w:rPr>
  </w:style>
  <w:style w:type="paragraph" w:styleId="Heading3">
    <w:name w:val="heading 3"/>
    <w:basedOn w:val="Normal"/>
    <w:next w:val="Normal"/>
    <w:link w:val="Heading3Char"/>
    <w:uiPriority w:val="9"/>
    <w:unhideWhenUsed/>
    <w:qFormat/>
    <w:rsid w:val="00D4537D"/>
    <w:pPr>
      <w:keepNext/>
      <w:keepLines/>
      <w:spacing w:before="200" w:after="0"/>
      <w:outlineLvl w:val="2"/>
    </w:pPr>
    <w:rPr>
      <w:rFonts w:asciiTheme="majorHAnsi" w:eastAsiaTheme="majorEastAsia" w:hAnsiTheme="majorHAnsi" w:cstheme="majorBidi"/>
      <w:b/>
      <w:bCs/>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6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7630"/>
    <w:rPr>
      <w:noProof/>
    </w:rPr>
  </w:style>
  <w:style w:type="paragraph" w:styleId="Footer">
    <w:name w:val="footer"/>
    <w:basedOn w:val="Normal"/>
    <w:link w:val="FooterChar"/>
    <w:uiPriority w:val="99"/>
    <w:unhideWhenUsed/>
    <w:rsid w:val="008A76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7630"/>
    <w:rPr>
      <w:noProof/>
    </w:rPr>
  </w:style>
  <w:style w:type="paragraph" w:styleId="ListParagraph">
    <w:name w:val="List Paragraph"/>
    <w:basedOn w:val="Normal"/>
    <w:uiPriority w:val="34"/>
    <w:qFormat/>
    <w:rsid w:val="00533344"/>
    <w:pPr>
      <w:ind w:left="720"/>
      <w:contextualSpacing/>
    </w:pPr>
  </w:style>
  <w:style w:type="character" w:customStyle="1" w:styleId="Heading1Char">
    <w:name w:val="Heading 1 Char"/>
    <w:basedOn w:val="DefaultParagraphFont"/>
    <w:link w:val="Heading1"/>
    <w:uiPriority w:val="9"/>
    <w:rsid w:val="00521491"/>
    <w:rPr>
      <w:rFonts w:ascii="Arial" w:eastAsiaTheme="majorEastAsia" w:hAnsi="Arial" w:cstheme="majorBidi"/>
      <w:b/>
      <w:bCs/>
      <w:noProof/>
      <w:sz w:val="44"/>
      <w:szCs w:val="28"/>
    </w:rPr>
  </w:style>
  <w:style w:type="character" w:customStyle="1" w:styleId="Heading2Char">
    <w:name w:val="Heading 2 Char"/>
    <w:basedOn w:val="DefaultParagraphFont"/>
    <w:link w:val="Heading2"/>
    <w:uiPriority w:val="9"/>
    <w:rsid w:val="00521491"/>
    <w:rPr>
      <w:rFonts w:ascii="Arial" w:eastAsiaTheme="majorEastAsia" w:hAnsi="Arial" w:cstheme="majorBidi"/>
      <w:b/>
      <w:bCs/>
      <w:noProof/>
      <w:sz w:val="36"/>
      <w:szCs w:val="26"/>
    </w:rPr>
  </w:style>
  <w:style w:type="paragraph" w:styleId="BalloonText">
    <w:name w:val="Balloon Text"/>
    <w:basedOn w:val="Normal"/>
    <w:link w:val="BalloonTextChar"/>
    <w:uiPriority w:val="99"/>
    <w:semiHidden/>
    <w:unhideWhenUsed/>
    <w:rsid w:val="00743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929"/>
    <w:rPr>
      <w:rFonts w:ascii="Tahoma" w:hAnsi="Tahoma" w:cs="Tahoma"/>
      <w:noProof/>
      <w:sz w:val="16"/>
      <w:szCs w:val="16"/>
    </w:rPr>
  </w:style>
  <w:style w:type="paragraph" w:styleId="FootnoteText">
    <w:name w:val="footnote text"/>
    <w:basedOn w:val="Normal"/>
    <w:link w:val="FootnoteTextChar"/>
    <w:uiPriority w:val="99"/>
    <w:semiHidden/>
    <w:unhideWhenUsed/>
    <w:rsid w:val="001424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244C"/>
    <w:rPr>
      <w:noProof/>
      <w:sz w:val="20"/>
      <w:szCs w:val="20"/>
    </w:rPr>
  </w:style>
  <w:style w:type="character" w:styleId="FootnoteReference">
    <w:name w:val="footnote reference"/>
    <w:basedOn w:val="DefaultParagraphFont"/>
    <w:uiPriority w:val="99"/>
    <w:semiHidden/>
    <w:unhideWhenUsed/>
    <w:rsid w:val="0014244C"/>
    <w:rPr>
      <w:vertAlign w:val="superscript"/>
    </w:rPr>
  </w:style>
  <w:style w:type="character" w:customStyle="1" w:styleId="Heading3Char">
    <w:name w:val="Heading 3 Char"/>
    <w:basedOn w:val="DefaultParagraphFont"/>
    <w:link w:val="Heading3"/>
    <w:uiPriority w:val="9"/>
    <w:rsid w:val="00D4537D"/>
    <w:rPr>
      <w:rFonts w:asciiTheme="majorHAnsi" w:eastAsiaTheme="majorEastAsia" w:hAnsiTheme="majorHAnsi" w:cstheme="majorBidi"/>
      <w:b/>
      <w:bCs/>
      <w:noProof/>
      <w:sz w:val="32"/>
    </w:rPr>
  </w:style>
  <w:style w:type="paragraph" w:styleId="TOC1">
    <w:name w:val="toc 1"/>
    <w:basedOn w:val="Normal"/>
    <w:next w:val="Normal"/>
    <w:autoRedefine/>
    <w:uiPriority w:val="39"/>
    <w:unhideWhenUsed/>
    <w:rsid w:val="00285A1E"/>
    <w:pPr>
      <w:spacing w:after="100"/>
    </w:pPr>
  </w:style>
  <w:style w:type="paragraph" w:styleId="TOC2">
    <w:name w:val="toc 2"/>
    <w:basedOn w:val="Normal"/>
    <w:next w:val="Normal"/>
    <w:autoRedefine/>
    <w:uiPriority w:val="39"/>
    <w:unhideWhenUsed/>
    <w:rsid w:val="00285A1E"/>
    <w:pPr>
      <w:spacing w:after="100"/>
      <w:ind w:left="280"/>
    </w:pPr>
  </w:style>
  <w:style w:type="paragraph" w:styleId="TOC3">
    <w:name w:val="toc 3"/>
    <w:basedOn w:val="Normal"/>
    <w:next w:val="Normal"/>
    <w:autoRedefine/>
    <w:uiPriority w:val="39"/>
    <w:unhideWhenUsed/>
    <w:rsid w:val="00285A1E"/>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358158">
      <w:bodyDiv w:val="1"/>
      <w:marLeft w:val="0"/>
      <w:marRight w:val="0"/>
      <w:marTop w:val="0"/>
      <w:marBottom w:val="0"/>
      <w:divBdr>
        <w:top w:val="none" w:sz="0" w:space="0" w:color="auto"/>
        <w:left w:val="none" w:sz="0" w:space="0" w:color="auto"/>
        <w:bottom w:val="none" w:sz="0" w:space="0" w:color="auto"/>
        <w:right w:val="none" w:sz="0" w:space="0" w:color="auto"/>
      </w:divBdr>
    </w:div>
    <w:div w:id="643317988">
      <w:bodyDiv w:val="1"/>
      <w:marLeft w:val="0"/>
      <w:marRight w:val="0"/>
      <w:marTop w:val="0"/>
      <w:marBottom w:val="0"/>
      <w:divBdr>
        <w:top w:val="none" w:sz="0" w:space="0" w:color="auto"/>
        <w:left w:val="none" w:sz="0" w:space="0" w:color="auto"/>
        <w:bottom w:val="none" w:sz="0" w:space="0" w:color="auto"/>
        <w:right w:val="none" w:sz="0" w:space="0" w:color="auto"/>
      </w:divBdr>
    </w:div>
    <w:div w:id="780681584">
      <w:bodyDiv w:val="1"/>
      <w:marLeft w:val="0"/>
      <w:marRight w:val="0"/>
      <w:marTop w:val="0"/>
      <w:marBottom w:val="0"/>
      <w:divBdr>
        <w:top w:val="none" w:sz="0" w:space="0" w:color="auto"/>
        <w:left w:val="none" w:sz="0" w:space="0" w:color="auto"/>
        <w:bottom w:val="none" w:sz="0" w:space="0" w:color="auto"/>
        <w:right w:val="none" w:sz="0" w:space="0" w:color="auto"/>
      </w:divBdr>
    </w:div>
    <w:div w:id="1182624424">
      <w:bodyDiv w:val="1"/>
      <w:marLeft w:val="0"/>
      <w:marRight w:val="0"/>
      <w:marTop w:val="0"/>
      <w:marBottom w:val="0"/>
      <w:divBdr>
        <w:top w:val="none" w:sz="0" w:space="0" w:color="auto"/>
        <w:left w:val="none" w:sz="0" w:space="0" w:color="auto"/>
        <w:bottom w:val="none" w:sz="0" w:space="0" w:color="auto"/>
        <w:right w:val="none" w:sz="0" w:space="0" w:color="auto"/>
      </w:divBdr>
    </w:div>
    <w:div w:id="1432047186">
      <w:bodyDiv w:val="1"/>
      <w:marLeft w:val="0"/>
      <w:marRight w:val="0"/>
      <w:marTop w:val="0"/>
      <w:marBottom w:val="0"/>
      <w:divBdr>
        <w:top w:val="none" w:sz="0" w:space="0" w:color="auto"/>
        <w:left w:val="none" w:sz="0" w:space="0" w:color="auto"/>
        <w:bottom w:val="none" w:sz="0" w:space="0" w:color="auto"/>
        <w:right w:val="none" w:sz="0" w:space="0" w:color="auto"/>
      </w:divBdr>
    </w:div>
    <w:div w:id="1638493222">
      <w:bodyDiv w:val="1"/>
      <w:marLeft w:val="0"/>
      <w:marRight w:val="0"/>
      <w:marTop w:val="0"/>
      <w:marBottom w:val="0"/>
      <w:divBdr>
        <w:top w:val="none" w:sz="0" w:space="0" w:color="auto"/>
        <w:left w:val="none" w:sz="0" w:space="0" w:color="auto"/>
        <w:bottom w:val="none" w:sz="0" w:space="0" w:color="auto"/>
        <w:right w:val="none" w:sz="0" w:space="0" w:color="auto"/>
      </w:divBdr>
    </w:div>
    <w:div w:id="166238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6B153-AC55-4C2B-ACC6-6C02ADC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Josip</dc:creator>
  <cp:lastModifiedBy>Josip</cp:lastModifiedBy>
  <cp:revision>2</cp:revision>
  <dcterms:created xsi:type="dcterms:W3CDTF">2014-04-13T16:12:00Z</dcterms:created>
  <dcterms:modified xsi:type="dcterms:W3CDTF">2014-04-13T16:12:00Z</dcterms:modified>
</cp:coreProperties>
</file>