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A6" w:rsidRDefault="002946A6" w:rsidP="002946A6">
      <w:pPr>
        <w:pStyle w:val="Default"/>
      </w:pPr>
    </w:p>
    <w:p w:rsidR="002946A6" w:rsidRDefault="002946A6" w:rsidP="002946A6">
      <w:pPr>
        <w:pStyle w:val="Default"/>
      </w:pPr>
      <w:r>
        <w:t xml:space="preserve"> </w:t>
      </w: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1. </w:t>
      </w:r>
      <w:r>
        <w:rPr>
          <w:color w:val="000000"/>
          <w:sz w:val="22"/>
          <w:szCs w:val="22"/>
        </w:rPr>
        <w:t xml:space="preserve">Indeks sposobnosti procesa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 </w:t>
      </w:r>
      <w:r>
        <w:rPr>
          <w:color w:val="000000"/>
          <w:sz w:val="22"/>
          <w:szCs w:val="22"/>
        </w:rPr>
        <w:t xml:space="preserve">definiran je kao omjer: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2946A6">
        <w:rPr>
          <w:color w:val="000000"/>
          <w:sz w:val="23"/>
          <w:szCs w:val="23"/>
          <w:highlight w:val="yellow"/>
        </w:rPr>
        <w:t xml:space="preserve">A) </w:t>
      </w:r>
      <w:r w:rsidRPr="002946A6">
        <w:rPr>
          <w:color w:val="000000"/>
          <w:sz w:val="22"/>
          <w:szCs w:val="22"/>
          <w:highlight w:val="yellow"/>
        </w:rPr>
        <w:t>raspona zahtjeva i raspona procesa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raspona procesa i raspona zahtjeva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raspona zahtjeva i aritmetičke sredine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raspona procesa i aritmetičke sredine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raspona procesa i standardnog odstupanja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2. </w:t>
      </w:r>
      <w:r>
        <w:rPr>
          <w:color w:val="000000"/>
          <w:sz w:val="22"/>
          <w:szCs w:val="22"/>
        </w:rPr>
        <w:t xml:space="preserve">Usporedbom kojih indeksa sposobnosti procesa se može vidjeti kako je smješten proces u odnosu na granice specifikacija?: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 </w:t>
      </w:r>
      <w:r>
        <w:rPr>
          <w:color w:val="000000"/>
          <w:sz w:val="22"/>
          <w:szCs w:val="22"/>
        </w:rPr>
        <w:t xml:space="preserve">i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pk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pk </w:t>
      </w:r>
      <w:r>
        <w:rPr>
          <w:color w:val="000000"/>
          <w:sz w:val="22"/>
          <w:szCs w:val="22"/>
        </w:rPr>
        <w:t xml:space="preserve">i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pL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pk </w:t>
      </w:r>
      <w:r>
        <w:rPr>
          <w:color w:val="000000"/>
          <w:sz w:val="22"/>
          <w:szCs w:val="22"/>
        </w:rPr>
        <w:t xml:space="preserve">i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 </w:t>
      </w:r>
      <w:r>
        <w:rPr>
          <w:color w:val="000000"/>
          <w:sz w:val="22"/>
          <w:szCs w:val="22"/>
        </w:rPr>
        <w:t xml:space="preserve">i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pL </w:t>
      </w:r>
    </w:p>
    <w:p w:rsidR="002946A6" w:rsidRDefault="002946A6" w:rsidP="002946A6">
      <w:pPr>
        <w:pStyle w:val="Odgovor"/>
        <w:ind w:left="1133" w:hanging="454"/>
        <w:rPr>
          <w:color w:val="000000"/>
          <w:position w:val="-8"/>
          <w:sz w:val="22"/>
          <w:szCs w:val="22"/>
          <w:vertAlign w:val="subscript"/>
        </w:rPr>
      </w:pPr>
      <w:r w:rsidRPr="002946A6">
        <w:rPr>
          <w:color w:val="000000"/>
          <w:sz w:val="23"/>
          <w:szCs w:val="23"/>
          <w:highlight w:val="yellow"/>
        </w:rPr>
        <w:t xml:space="preserve">E) </w:t>
      </w:r>
      <w:r w:rsidRPr="002946A6">
        <w:rPr>
          <w:i/>
          <w:iCs/>
          <w:color w:val="000000"/>
          <w:sz w:val="22"/>
          <w:szCs w:val="22"/>
          <w:highlight w:val="yellow"/>
        </w:rPr>
        <w:t>C</w:t>
      </w:r>
      <w:r w:rsidRPr="002946A6">
        <w:rPr>
          <w:color w:val="000000"/>
          <w:position w:val="-8"/>
          <w:sz w:val="22"/>
          <w:szCs w:val="22"/>
          <w:highlight w:val="yellow"/>
          <w:vertAlign w:val="subscript"/>
        </w:rPr>
        <w:t xml:space="preserve">pL </w:t>
      </w:r>
      <w:r w:rsidRPr="002946A6">
        <w:rPr>
          <w:color w:val="000000"/>
          <w:sz w:val="22"/>
          <w:szCs w:val="22"/>
          <w:highlight w:val="yellow"/>
        </w:rPr>
        <w:t xml:space="preserve">i </w:t>
      </w:r>
      <w:r w:rsidRPr="002946A6">
        <w:rPr>
          <w:i/>
          <w:iCs/>
          <w:color w:val="000000"/>
          <w:sz w:val="22"/>
          <w:szCs w:val="22"/>
          <w:highlight w:val="yellow"/>
        </w:rPr>
        <w:t>C</w:t>
      </w:r>
      <w:r w:rsidRPr="002946A6">
        <w:rPr>
          <w:color w:val="000000"/>
          <w:position w:val="-8"/>
          <w:sz w:val="22"/>
          <w:szCs w:val="22"/>
          <w:highlight w:val="yellow"/>
          <w:vertAlign w:val="subscript"/>
        </w:rPr>
        <w:t>pU</w:t>
      </w:r>
      <w:r>
        <w:rPr>
          <w:color w:val="000000"/>
          <w:position w:val="-8"/>
          <w:sz w:val="22"/>
          <w:szCs w:val="22"/>
          <w:vertAlign w:val="subscript"/>
        </w:rPr>
        <w:t xml:space="preserve">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2"/>
          <w:szCs w:val="22"/>
        </w:rPr>
        <w:t xml:space="preserve">Indeks sposobnosti procesa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pL </w:t>
      </w:r>
      <w:r>
        <w:rPr>
          <w:color w:val="000000"/>
          <w:sz w:val="22"/>
          <w:szCs w:val="22"/>
        </w:rPr>
        <w:t xml:space="preserve">računa se prema sljedećoj formuli: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2946A6">
        <w:rPr>
          <w:color w:val="000000"/>
          <w:sz w:val="23"/>
          <w:szCs w:val="23"/>
          <w:highlight w:val="yellow"/>
        </w:rPr>
        <w:t xml:space="preserve">A) </w:t>
      </w:r>
      <w:r w:rsidRPr="002946A6">
        <w:rPr>
          <w:color w:val="000000"/>
          <w:sz w:val="22"/>
          <w:szCs w:val="22"/>
          <w:highlight w:val="yellow"/>
        </w:rPr>
        <w:t>(μ − LSL)/3σ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(μ − LSL)/6σ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(USL − μ)/3σ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(USL − μ)/6σ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>min {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>pk</w:t>
      </w:r>
      <w:r>
        <w:rPr>
          <w:color w:val="000000"/>
          <w:sz w:val="22"/>
          <w:szCs w:val="22"/>
        </w:rPr>
        <w:t xml:space="preserve">,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>pU</w:t>
      </w:r>
      <w:r>
        <w:rPr>
          <w:color w:val="000000"/>
          <w:sz w:val="22"/>
          <w:szCs w:val="22"/>
        </w:rPr>
        <w:t xml:space="preserve">}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4. </w:t>
      </w:r>
      <w:r>
        <w:rPr>
          <w:color w:val="000000"/>
          <w:sz w:val="22"/>
          <w:szCs w:val="22"/>
        </w:rPr>
        <w:t xml:space="preserve">Ako su granice specifikacije za promjer šipke dane sa USL – LSL = 20 mm, a indeks sposobnosti procesa </w:t>
      </w:r>
      <w:r>
        <w:rPr>
          <w:i/>
          <w:iCs/>
          <w:color w:val="000000"/>
          <w:sz w:val="22"/>
          <w:szCs w:val="22"/>
        </w:rPr>
        <w:t>C</w:t>
      </w:r>
      <w:r>
        <w:rPr>
          <w:color w:val="000000"/>
          <w:position w:val="-8"/>
          <w:sz w:val="22"/>
          <w:szCs w:val="22"/>
          <w:vertAlign w:val="subscript"/>
        </w:rPr>
        <w:t xml:space="preserve">p </w:t>
      </w:r>
      <w:r>
        <w:rPr>
          <w:color w:val="000000"/>
          <w:sz w:val="22"/>
          <w:szCs w:val="22"/>
        </w:rPr>
        <w:t xml:space="preserve">= 1,67, odredite standardno odstupanje procesa: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A) </w:t>
      </w:r>
      <w:r w:rsidRPr="0076634A">
        <w:rPr>
          <w:color w:val="000000"/>
          <w:sz w:val="22"/>
          <w:szCs w:val="22"/>
          <w:highlight w:val="yellow"/>
        </w:rPr>
        <w:t>± 2 mm</w:t>
      </w:r>
      <w:r>
        <w:rPr>
          <w:color w:val="000000"/>
          <w:sz w:val="22"/>
          <w:szCs w:val="22"/>
        </w:rPr>
        <w:t xml:space="preserve"> </w:t>
      </w:r>
      <w:r w:rsidR="0076634A">
        <w:rPr>
          <w:color w:val="000000"/>
          <w:sz w:val="22"/>
          <w:szCs w:val="22"/>
        </w:rPr>
        <w:t xml:space="preserve">  (6*sigma = 20/Cp </w:t>
      </w:r>
      <w:r w:rsidR="0076634A" w:rsidRPr="0076634A">
        <w:rPr>
          <w:color w:val="000000"/>
          <w:sz w:val="22"/>
          <w:szCs w:val="22"/>
        </w:rPr>
        <w:sym w:font="Wingdings" w:char="F0E0"/>
      </w:r>
      <w:r w:rsidR="0076634A">
        <w:rPr>
          <w:color w:val="000000"/>
          <w:sz w:val="22"/>
          <w:szCs w:val="22"/>
        </w:rPr>
        <w:t xml:space="preserve"> sigma=1,996)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± 1 mm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2 mm </w:t>
      </w:r>
    </w:p>
    <w:p w:rsidR="002946A6" w:rsidRP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1 mm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± 3 mm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5. </w:t>
      </w:r>
      <w:r>
        <w:rPr>
          <w:color w:val="000000"/>
          <w:sz w:val="22"/>
          <w:szCs w:val="22"/>
        </w:rPr>
        <w:t xml:space="preserve">Kakvoća od šest sigma ostvarena je onda kada je broj defekata na milijun mogućnosti: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najmanje 1,5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najmanje 3,4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C) </w:t>
      </w:r>
      <w:r w:rsidRPr="0076634A">
        <w:rPr>
          <w:color w:val="000000"/>
          <w:sz w:val="22"/>
          <w:szCs w:val="22"/>
          <w:highlight w:val="yellow"/>
        </w:rPr>
        <w:t>najviše 3,4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najmanje 6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najviše 6 </w:t>
      </w:r>
    </w:p>
    <w:p w:rsidR="002946A6" w:rsidRDefault="002946A6" w:rsidP="002946A6">
      <w:pPr>
        <w:pStyle w:val="Default"/>
        <w:rPr>
          <w:sz w:val="22"/>
          <w:szCs w:val="22"/>
        </w:rPr>
      </w:pPr>
    </w:p>
    <w:p w:rsidR="002946A6" w:rsidRDefault="002946A6" w:rsidP="002946A6">
      <w:pPr>
        <w:pStyle w:val="Default"/>
        <w:pageBreakBefore/>
        <w:rPr>
          <w:sz w:val="22"/>
          <w:szCs w:val="22"/>
        </w:rPr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6. </w:t>
      </w:r>
      <w:r>
        <w:rPr>
          <w:color w:val="000000"/>
          <w:sz w:val="22"/>
          <w:szCs w:val="22"/>
        </w:rPr>
        <w:t xml:space="preserve">Koncept kakvoće šest sigma uzima u obzir da je sredina stvarne raspodjele pomaknuta od očekivane vrijednosti za: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0,5σ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1σ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C) </w:t>
      </w:r>
      <w:r w:rsidRPr="0076634A">
        <w:rPr>
          <w:color w:val="000000"/>
          <w:sz w:val="22"/>
          <w:szCs w:val="22"/>
          <w:highlight w:val="yellow"/>
        </w:rPr>
        <w:t>1,5σ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3σ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6σ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7. </w:t>
      </w:r>
      <w:r>
        <w:rPr>
          <w:color w:val="000000"/>
          <w:sz w:val="22"/>
          <w:szCs w:val="22"/>
        </w:rPr>
        <w:t xml:space="preserve">Koji od sljedećih navoda nije element MBNQA?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vodstvo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strateško planiranje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okrenutost korisniku i tržištu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mjerenje, analiza i upravljanje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E) </w:t>
      </w:r>
      <w:r w:rsidRPr="0076634A">
        <w:rPr>
          <w:color w:val="000000"/>
          <w:sz w:val="22"/>
          <w:szCs w:val="22"/>
          <w:highlight w:val="yellow"/>
        </w:rPr>
        <w:t>smanjenje troškova</w:t>
      </w:r>
      <w:r>
        <w:rPr>
          <w:color w:val="000000"/>
          <w:sz w:val="22"/>
          <w:szCs w:val="22"/>
        </w:rPr>
        <w:t xml:space="preserve">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8. </w:t>
      </w:r>
      <w:r>
        <w:rPr>
          <w:color w:val="000000"/>
          <w:sz w:val="22"/>
          <w:szCs w:val="22"/>
        </w:rPr>
        <w:t xml:space="preserve">EFQM je akronim od: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European Fund for Quality Measurement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B) </w:t>
      </w:r>
      <w:r w:rsidRPr="0076634A">
        <w:rPr>
          <w:color w:val="000000"/>
          <w:sz w:val="22"/>
          <w:szCs w:val="22"/>
          <w:highlight w:val="yellow"/>
        </w:rPr>
        <w:t>European Foundation for Quality Management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Eastern Fund for Quality Management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European Financing for Quality Measurement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Estimation and Financing for Quality Management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9. </w:t>
      </w:r>
      <w:r>
        <w:rPr>
          <w:color w:val="000000"/>
          <w:sz w:val="22"/>
          <w:szCs w:val="22"/>
        </w:rPr>
        <w:t xml:space="preserve">Tzv. novi pristup (new approach) u uklanjanju tehničkih prepreka trgovini odobren je na europskoj razini: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1975. godine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B) </w:t>
      </w:r>
      <w:r w:rsidRPr="0076634A">
        <w:rPr>
          <w:color w:val="000000"/>
          <w:sz w:val="22"/>
          <w:szCs w:val="22"/>
          <w:highlight w:val="yellow"/>
        </w:rPr>
        <w:t>1985. godine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1995. godine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2000. godine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2005. godine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10. </w:t>
      </w:r>
      <w:r>
        <w:rPr>
          <w:color w:val="000000"/>
          <w:sz w:val="22"/>
          <w:szCs w:val="22"/>
        </w:rPr>
        <w:t xml:space="preserve">Odrednica (directive) je pravni dokument: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koji su zemlje članice EU dužne usvojiti u roku od 6 mjeseci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kojeg čine norme koje se posebno odnose na pojedinu članicu EU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C) </w:t>
      </w:r>
      <w:r w:rsidRPr="0076634A">
        <w:rPr>
          <w:color w:val="000000"/>
          <w:sz w:val="22"/>
          <w:szCs w:val="22"/>
          <w:highlight w:val="yellow"/>
        </w:rPr>
        <w:t>kojim EU usklađuje pravnu regulativu zemalja članica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koji se odnosi na zemlje koje su kandidati za članstvo u EU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kojim je definirana nadležnost pojedinih zemalja EU za pojedina tehnička područja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11. </w:t>
      </w:r>
      <w:r>
        <w:rPr>
          <w:color w:val="000000"/>
          <w:sz w:val="22"/>
          <w:szCs w:val="22"/>
        </w:rPr>
        <w:t xml:space="preserve">CE znak je: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oznaka da je proizvod proizveden u EU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garancija visoke europske kakvoće proizvoda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nacionalna oznaka kakvoće proizvoda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D) </w:t>
      </w:r>
      <w:r w:rsidRPr="0076634A">
        <w:rPr>
          <w:color w:val="000000"/>
          <w:sz w:val="22"/>
          <w:szCs w:val="22"/>
          <w:highlight w:val="yellow"/>
        </w:rPr>
        <w:t>oznaka da proizvod zadovoljava odredbe europske (ili europskih) odrednice(a) novog pristupa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oznaka da je proizvod izrađen u skladu s ekonomskim uvjetima konkurencije na europskom tržištu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12. </w:t>
      </w:r>
      <w:r>
        <w:rPr>
          <w:color w:val="000000"/>
          <w:sz w:val="22"/>
          <w:szCs w:val="22"/>
        </w:rPr>
        <w:t xml:space="preserve">Norma ISO IEC 17025:2005 određuje/predstavlja: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naputke za uspostavu sustava kakvoće u skladu s ISO 9001:2005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zahtjeve koje treba ispuniti laboratorij kako bi dobio certifikat ISO 9001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zahtjeve koje trebaju zadovoljiti umjerni i ispitni laboratoriji kako bi mogli ispitivati uređaje sa CE znakom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naputke za neovisno ocjenjivanje sustava upravljanja kakvoćom za akreditirane umjerne i ispitne laboratorije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E) </w:t>
      </w:r>
      <w:r w:rsidRPr="0076634A">
        <w:rPr>
          <w:color w:val="000000"/>
          <w:sz w:val="22"/>
          <w:szCs w:val="22"/>
          <w:highlight w:val="yellow"/>
        </w:rPr>
        <w:t>zahtjeve koje trebaju zadovoljiti umjerni i ispitni laboratoriji u svrhu dobivanja akreditacije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Default"/>
        <w:rPr>
          <w:sz w:val="22"/>
          <w:szCs w:val="22"/>
        </w:rPr>
      </w:pPr>
    </w:p>
    <w:p w:rsidR="002946A6" w:rsidRDefault="002946A6" w:rsidP="002946A6">
      <w:pPr>
        <w:pStyle w:val="Default"/>
        <w:pageBreakBefore/>
        <w:rPr>
          <w:sz w:val="22"/>
          <w:szCs w:val="22"/>
        </w:rPr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13. </w:t>
      </w:r>
      <w:r>
        <w:rPr>
          <w:color w:val="000000"/>
          <w:sz w:val="22"/>
          <w:szCs w:val="22"/>
        </w:rPr>
        <w:t xml:space="preserve">Važne sastavnice norme ISO IEC 17025:2005 odnose se na: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postupak za prijavu akreditacijskom tijelu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B) </w:t>
      </w:r>
      <w:r w:rsidRPr="0076634A">
        <w:rPr>
          <w:color w:val="000000"/>
          <w:sz w:val="22"/>
          <w:szCs w:val="22"/>
          <w:highlight w:val="yellow"/>
        </w:rPr>
        <w:t>sustav upravljanja i tehnički dio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ispunjavanje zahtjeva za certifikaciju osoba i proizvoda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usklađivanje s europskim normama i globalnim zahtjevima slobodnog tržišta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tehničko usklađivanje postupaka između različitih laboratorija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14. </w:t>
      </w:r>
      <w:r>
        <w:rPr>
          <w:color w:val="000000"/>
          <w:sz w:val="22"/>
          <w:szCs w:val="22"/>
        </w:rPr>
        <w:t xml:space="preserve">Mjerna sljedivost nekog mjernog rezultata je: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prikaz svih prethodnih usporedbi etalona (uređaja) u akreditiranom laboratoriju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prikaz izračuna kod kojeg konačan rezultat slijedi iz vrijednosti ulaznih veličina i poznate funkcijske ovisnosti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C) </w:t>
      </w:r>
      <w:r w:rsidRPr="0076634A">
        <w:rPr>
          <w:color w:val="000000"/>
          <w:sz w:val="22"/>
          <w:szCs w:val="22"/>
          <w:highlight w:val="yellow"/>
        </w:rPr>
        <w:t>svojstvo da se slijedom dokumentiranog lanca usporedbi dovodi u vezi s utvrđenom referencom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parametar prema kojem se procjenjuje njegova kakvoća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podatak koji obavezno treba navesti ako je dobiveni rezultat izvan očekivanih granica </w:t>
      </w:r>
    </w:p>
    <w:p w:rsidR="002946A6" w:rsidRDefault="002946A6" w:rsidP="002946A6">
      <w:pPr>
        <w:pStyle w:val="odgovor3"/>
        <w:rPr>
          <w:color w:val="000000"/>
          <w:sz w:val="23"/>
          <w:szCs w:val="23"/>
        </w:rPr>
      </w:pPr>
    </w:p>
    <w:p w:rsidR="002946A6" w:rsidRDefault="002946A6" w:rsidP="002946A6">
      <w:pPr>
        <w:pStyle w:val="odgovor3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    15. </w:t>
      </w:r>
      <w:r>
        <w:rPr>
          <w:color w:val="000000"/>
          <w:sz w:val="22"/>
          <w:szCs w:val="22"/>
        </w:rPr>
        <w:t xml:space="preserve">Kakvoća programske opreme provjerava se i unapređuje redovitim postupcima: </w:t>
      </w:r>
    </w:p>
    <w:p w:rsidR="002946A6" w:rsidRDefault="002946A6" w:rsidP="002946A6">
      <w:pPr>
        <w:pStyle w:val="odgovor3"/>
        <w:ind w:left="680"/>
        <w:rPr>
          <w:color w:val="000000"/>
          <w:sz w:val="22"/>
          <w:szCs w:val="22"/>
        </w:rPr>
      </w:pPr>
      <w:r w:rsidRPr="0076634A">
        <w:rPr>
          <w:color w:val="000000"/>
          <w:sz w:val="22"/>
          <w:szCs w:val="22"/>
          <w:highlight w:val="yellow"/>
        </w:rPr>
        <w:t>A) revizije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3"/>
        <w:ind w:left="6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B) ratifikacije </w:t>
      </w:r>
    </w:p>
    <w:p w:rsidR="002946A6" w:rsidRDefault="002946A6" w:rsidP="002946A6">
      <w:pPr>
        <w:pStyle w:val="odgovor3"/>
        <w:ind w:left="6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C) inspekcije </w:t>
      </w:r>
    </w:p>
    <w:p w:rsidR="002946A6" w:rsidRDefault="002946A6" w:rsidP="002946A6">
      <w:pPr>
        <w:pStyle w:val="odgovor3"/>
        <w:ind w:left="6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D) kalibracije</w:t>
      </w:r>
    </w:p>
    <w:p w:rsidR="002946A6" w:rsidRDefault="002946A6" w:rsidP="002946A6">
      <w:pPr>
        <w:pStyle w:val="odgovor3"/>
        <w:ind w:left="6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E) certifikacije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16. </w:t>
      </w:r>
      <w:r>
        <w:rPr>
          <w:color w:val="000000"/>
          <w:sz w:val="22"/>
          <w:szCs w:val="22"/>
        </w:rPr>
        <w:t xml:space="preserve">Hrvatska se priključila Bolonjskom procesu: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A) </w:t>
      </w:r>
      <w:r w:rsidRPr="0076634A">
        <w:rPr>
          <w:color w:val="000000"/>
          <w:sz w:val="22"/>
          <w:szCs w:val="22"/>
          <w:highlight w:val="yellow"/>
        </w:rPr>
        <w:t>2001. u Pragu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1999. u Pragu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1999. u Bologni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2001. u Bologni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1999. u Berlinu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17. </w:t>
      </w:r>
      <w:r>
        <w:rPr>
          <w:color w:val="000000"/>
          <w:sz w:val="22"/>
          <w:szCs w:val="22"/>
        </w:rPr>
        <w:t xml:space="preserve">Osiguravanje kakvoće programske opreme (SQA) je: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postupak osiguravanja akreditacije za programsku opremu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76634A">
        <w:rPr>
          <w:color w:val="000000"/>
          <w:sz w:val="23"/>
          <w:szCs w:val="23"/>
          <w:highlight w:val="yellow"/>
        </w:rPr>
        <w:t xml:space="preserve">B) </w:t>
      </w:r>
      <w:r w:rsidRPr="0076634A">
        <w:rPr>
          <w:color w:val="000000"/>
          <w:sz w:val="22"/>
          <w:szCs w:val="22"/>
          <w:highlight w:val="yellow"/>
        </w:rPr>
        <w:t>planiran i sustavan skup radnji s ciljem osiguravanja kakvoće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pregled obavljenih verifikacija i validacija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primjena statističkih alata s ciljem osiguravanja kakvoće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normirani postupak radi ispunjavanja zahtjeva s ciljem certifikacije programske opreme visoke kakvoće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18. </w:t>
      </w:r>
      <w:r>
        <w:rPr>
          <w:color w:val="000000"/>
          <w:sz w:val="22"/>
          <w:szCs w:val="22"/>
        </w:rPr>
        <w:t xml:space="preserve">Koji od sljedećih navoda nije točka norme HRN EN ISO/IEC 17025:2005?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upravljanje dokumentima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preventivne radnje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oprema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3C4ED2">
        <w:rPr>
          <w:color w:val="000000"/>
          <w:sz w:val="23"/>
          <w:szCs w:val="23"/>
          <w:highlight w:val="yellow"/>
        </w:rPr>
        <w:t xml:space="preserve">D) </w:t>
      </w:r>
      <w:r w:rsidRPr="003C4ED2">
        <w:rPr>
          <w:color w:val="000000"/>
          <w:sz w:val="22"/>
          <w:szCs w:val="22"/>
          <w:highlight w:val="yellow"/>
        </w:rPr>
        <w:t>organigrami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ispitne i umjerne metode te njihova validacija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19. </w:t>
      </w:r>
      <w:r>
        <w:rPr>
          <w:color w:val="000000"/>
          <w:sz w:val="22"/>
          <w:szCs w:val="22"/>
        </w:rPr>
        <w:t xml:space="preserve">Koji od navedenih ciljeva nije sadržan u Bolonjskoj deklaraciji?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A) </w:t>
      </w:r>
      <w:r>
        <w:rPr>
          <w:color w:val="000000"/>
          <w:sz w:val="22"/>
          <w:szCs w:val="22"/>
        </w:rPr>
        <w:t xml:space="preserve">dvociklički sustav studiranja (preddiplomski i diplomski)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uvođenje bodovnog sustava (ECTS)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promicanje mobilnosti (studentima, nastavnicima i dr.)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promicanje europske suradnje u osiguravanju kakvoće u visokom obrazovanju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3C4ED2">
        <w:rPr>
          <w:color w:val="000000"/>
          <w:sz w:val="23"/>
          <w:szCs w:val="23"/>
          <w:highlight w:val="yellow"/>
        </w:rPr>
        <w:t xml:space="preserve">E) </w:t>
      </w:r>
      <w:r w:rsidRPr="003C4ED2">
        <w:rPr>
          <w:color w:val="000000"/>
          <w:sz w:val="22"/>
          <w:szCs w:val="22"/>
          <w:highlight w:val="yellow"/>
        </w:rPr>
        <w:t>individualno ocjenjivanje studenata</w:t>
      </w:r>
      <w:r>
        <w:rPr>
          <w:color w:val="000000"/>
          <w:sz w:val="22"/>
          <w:szCs w:val="22"/>
        </w:rPr>
        <w:t xml:space="preserve"> </w:t>
      </w:r>
    </w:p>
    <w:p w:rsidR="002946A6" w:rsidRPr="002946A6" w:rsidRDefault="002946A6" w:rsidP="002946A6">
      <w:pPr>
        <w:pStyle w:val="Default"/>
      </w:pPr>
    </w:p>
    <w:p w:rsidR="002946A6" w:rsidRDefault="002946A6" w:rsidP="002946A6">
      <w:pPr>
        <w:pStyle w:val="PitanjeChar"/>
        <w:ind w:left="681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20. </w:t>
      </w:r>
      <w:r>
        <w:rPr>
          <w:color w:val="000000"/>
          <w:sz w:val="22"/>
          <w:szCs w:val="22"/>
        </w:rPr>
        <w:t xml:space="preserve">Koji dokumenti su doneseni prije Bolonjske deklaracije?: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 w:rsidRPr="003C4ED2">
        <w:rPr>
          <w:color w:val="000000"/>
          <w:sz w:val="23"/>
          <w:szCs w:val="23"/>
          <w:highlight w:val="yellow"/>
        </w:rPr>
        <w:t xml:space="preserve">A) </w:t>
      </w:r>
      <w:r w:rsidRPr="003C4ED2">
        <w:rPr>
          <w:color w:val="000000"/>
          <w:sz w:val="22"/>
          <w:szCs w:val="22"/>
          <w:highlight w:val="yellow"/>
        </w:rPr>
        <w:t>Magna Charta Universitatum, Lisabonska konvencija i Sorbonska deklaracija</w:t>
      </w:r>
      <w:r>
        <w:rPr>
          <w:color w:val="000000"/>
          <w:sz w:val="22"/>
          <w:szCs w:val="22"/>
        </w:rPr>
        <w:t xml:space="preserve">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B) </w:t>
      </w:r>
      <w:r>
        <w:rPr>
          <w:color w:val="000000"/>
          <w:sz w:val="22"/>
          <w:szCs w:val="22"/>
        </w:rPr>
        <w:t xml:space="preserve">Magna Charta Universitatum, Konvencija u Salamanki i Sorbonska deklaracija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C) </w:t>
      </w:r>
      <w:r>
        <w:rPr>
          <w:color w:val="000000"/>
          <w:sz w:val="22"/>
          <w:szCs w:val="22"/>
        </w:rPr>
        <w:t xml:space="preserve">Magna Charta Universitatum, Ministarsko priopćenje iz Praga i Sorbonska deklaracija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D) </w:t>
      </w:r>
      <w:r>
        <w:rPr>
          <w:color w:val="000000"/>
          <w:sz w:val="22"/>
          <w:szCs w:val="22"/>
        </w:rPr>
        <w:t xml:space="preserve">Magna Charta Universitatum, Lisabonska konvencija i Konvencija u Salamanki </w:t>
      </w:r>
    </w:p>
    <w:p w:rsidR="002946A6" w:rsidRDefault="002946A6" w:rsidP="002946A6">
      <w:pPr>
        <w:pStyle w:val="Odgovor"/>
        <w:ind w:left="1133" w:hanging="454"/>
        <w:rPr>
          <w:color w:val="000000"/>
          <w:sz w:val="22"/>
          <w:szCs w:val="22"/>
        </w:rPr>
      </w:pPr>
      <w:r>
        <w:rPr>
          <w:color w:val="000000"/>
          <w:sz w:val="23"/>
          <w:szCs w:val="23"/>
        </w:rPr>
        <w:t xml:space="preserve">E) </w:t>
      </w:r>
      <w:r>
        <w:rPr>
          <w:color w:val="000000"/>
          <w:sz w:val="22"/>
          <w:szCs w:val="22"/>
        </w:rPr>
        <w:t xml:space="preserve">Ministarska priopćenja iz Praga, Berlina i Bergena </w:t>
      </w:r>
    </w:p>
    <w:p w:rsidR="001B1D5B" w:rsidRDefault="001B1D5B"/>
    <w:sectPr w:rsidR="001B1D5B" w:rsidSect="00631100">
      <w:pgSz w:w="11900" w:h="17340"/>
      <w:pgMar w:top="1175" w:right="776" w:bottom="1073" w:left="92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2946A6"/>
    <w:rsid w:val="001B1D5B"/>
    <w:rsid w:val="002946A6"/>
    <w:rsid w:val="003C4ED2"/>
    <w:rsid w:val="0076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6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itanjeChar">
    <w:name w:val="Pitanje Char"/>
    <w:basedOn w:val="Default"/>
    <w:next w:val="Default"/>
    <w:uiPriority w:val="99"/>
    <w:rsid w:val="002946A6"/>
    <w:rPr>
      <w:color w:val="auto"/>
    </w:rPr>
  </w:style>
  <w:style w:type="paragraph" w:customStyle="1" w:styleId="Odgovor">
    <w:name w:val="Odgovor"/>
    <w:basedOn w:val="Default"/>
    <w:next w:val="Default"/>
    <w:uiPriority w:val="99"/>
    <w:rsid w:val="002946A6"/>
    <w:rPr>
      <w:color w:val="auto"/>
    </w:rPr>
  </w:style>
  <w:style w:type="paragraph" w:customStyle="1" w:styleId="odgovor3">
    <w:name w:val="odgovor 3"/>
    <w:basedOn w:val="Default"/>
    <w:next w:val="Default"/>
    <w:uiPriority w:val="99"/>
    <w:rsid w:val="002946A6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</dc:creator>
  <cp:lastModifiedBy>Dado</cp:lastModifiedBy>
  <cp:revision>1</cp:revision>
  <dcterms:created xsi:type="dcterms:W3CDTF">2009-01-17T16:12:00Z</dcterms:created>
  <dcterms:modified xsi:type="dcterms:W3CDTF">2009-01-17T16:34:00Z</dcterms:modified>
</cp:coreProperties>
</file>