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Oznaka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Rizik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Vjerojatnost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Upliv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Izloženost</w:t>
            </w:r>
          </w:p>
        </w:tc>
      </w:tr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1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Mogućnost ne dobivanja patentnih prava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0.3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0.4</w:t>
            </w:r>
            <w:r w:rsidRPr="003301C3">
              <w:rPr>
                <w:sz w:val="20"/>
                <w:szCs w:val="20"/>
              </w:rPr>
              <w:t>/</w:t>
            </w:r>
            <w:r w:rsidR="00697A2B" w:rsidRPr="003301C3">
              <w:rPr>
                <w:sz w:val="20"/>
                <w:szCs w:val="20"/>
              </w:rPr>
              <w:t>0.8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0.12</w:t>
            </w:r>
            <w:r w:rsidR="00697A2B" w:rsidRPr="003301C3">
              <w:rPr>
                <w:sz w:val="20"/>
                <w:szCs w:val="20"/>
              </w:rPr>
              <w:t>/0.24</w:t>
            </w:r>
          </w:p>
        </w:tc>
      </w:tr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Neuspjela kupovina novog zemljišta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0.1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0.4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0.04</w:t>
            </w:r>
          </w:p>
        </w:tc>
      </w:tr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3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Skraćivanje vremenskog rasporeda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0.5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0.4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0.2</w:t>
            </w:r>
          </w:p>
        </w:tc>
      </w:tr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Nedostatak finacijskih sredstava (kapitala)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0.3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0.2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0.06</w:t>
            </w:r>
          </w:p>
        </w:tc>
      </w:tr>
      <w:tr w:rsidR="000C7C60" w:rsidRPr="003301C3" w:rsidTr="00BF2EE3"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5</w:t>
            </w:r>
          </w:p>
        </w:tc>
        <w:tc>
          <w:tcPr>
            <w:tcW w:w="1857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Sporost birokracije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0.7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0.2</w:t>
            </w:r>
            <w:r w:rsidRPr="003301C3">
              <w:rPr>
                <w:sz w:val="20"/>
                <w:szCs w:val="20"/>
              </w:rPr>
              <w:t>/0.4</w:t>
            </w:r>
          </w:p>
        </w:tc>
        <w:tc>
          <w:tcPr>
            <w:tcW w:w="1858" w:type="dxa"/>
          </w:tcPr>
          <w:p w:rsidR="000C7C60" w:rsidRPr="003301C3" w:rsidRDefault="000C7C60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0.14</w:t>
            </w:r>
            <w:r w:rsidRPr="003301C3">
              <w:rPr>
                <w:sz w:val="20"/>
                <w:szCs w:val="20"/>
              </w:rPr>
              <w:t>/0.28</w:t>
            </w:r>
          </w:p>
        </w:tc>
      </w:tr>
    </w:tbl>
    <w:p w:rsidR="00C655D8" w:rsidRPr="003301C3" w:rsidRDefault="00C655D8" w:rsidP="00377D93">
      <w:pPr>
        <w:jc w:val="center"/>
        <w:rPr>
          <w:sz w:val="20"/>
          <w:szCs w:val="20"/>
        </w:rPr>
      </w:pPr>
    </w:p>
    <w:tbl>
      <w:tblPr>
        <w:tblStyle w:val="TableGrid"/>
        <w:tblW w:w="10945" w:type="dxa"/>
        <w:tblInd w:w="-924" w:type="dxa"/>
        <w:tblLook w:val="04A0" w:firstRow="1" w:lastRow="0" w:firstColumn="1" w:lastColumn="0" w:noHBand="0" w:noVBand="1"/>
      </w:tblPr>
      <w:tblGrid>
        <w:gridCol w:w="1061"/>
        <w:gridCol w:w="1095"/>
        <w:gridCol w:w="1146"/>
        <w:gridCol w:w="1094"/>
        <w:gridCol w:w="1143"/>
        <w:gridCol w:w="1086"/>
        <w:gridCol w:w="1068"/>
        <w:gridCol w:w="1084"/>
        <w:gridCol w:w="1084"/>
        <w:gridCol w:w="1084"/>
      </w:tblGrid>
      <w:tr w:rsidR="0017261F" w:rsidRPr="003301C3" w:rsidTr="0017261F">
        <w:trPr>
          <w:trHeight w:val="1091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Rizik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Izloženost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Boja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Planirani trošak rizika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Očekivana monetarna vrijednost (EMV)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Rezervni fond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Odziv</w:t>
            </w: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Stvarni troškovi</w:t>
            </w: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Ukupni rezervni fond</w:t>
            </w:r>
          </w:p>
        </w:tc>
        <w:tc>
          <w:tcPr>
            <w:tcW w:w="1084" w:type="dxa"/>
          </w:tcPr>
          <w:p w:rsidR="0017261F" w:rsidRDefault="00A24DA9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Ukupni stvarni trošak odziva</w:t>
            </w:r>
            <w:bookmarkStart w:id="0" w:name="_GoBack"/>
            <w:bookmarkEnd w:id="0"/>
          </w:p>
        </w:tc>
      </w:tr>
      <w:tr w:rsidR="0017261F" w:rsidRPr="003301C3" w:rsidTr="0017261F">
        <w:trPr>
          <w:trHeight w:val="261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0.12/0.24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Žuti/Crveni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2,000,000 $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600,000 $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480,000 $</w:t>
            </w:r>
          </w:p>
        </w:tc>
        <w:tc>
          <w:tcPr>
            <w:tcW w:w="1084" w:type="dxa"/>
            <w:vMerge w:val="restart"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600000 $</w:t>
            </w:r>
          </w:p>
        </w:tc>
        <w:tc>
          <w:tcPr>
            <w:tcW w:w="1084" w:type="dxa"/>
            <w:vMerge w:val="restart"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1500000 $</w:t>
            </w:r>
          </w:p>
        </w:tc>
      </w:tr>
      <w:tr w:rsidR="0017261F" w:rsidRPr="003301C3" w:rsidTr="0017261F">
        <w:trPr>
          <w:trHeight w:val="276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2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0.04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Zeleni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750,000 $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75,000 $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75,000 $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</w:tr>
      <w:tr w:rsidR="0017261F" w:rsidRPr="003301C3" w:rsidTr="0017261F">
        <w:trPr>
          <w:trHeight w:val="538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3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0.2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Crveni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3,000,000 $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1,500,000 $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600,000 $</w:t>
            </w: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</w:tr>
      <w:tr w:rsidR="0017261F" w:rsidRPr="003301C3" w:rsidTr="0017261F">
        <w:trPr>
          <w:trHeight w:val="276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4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0.06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Zeleni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1,750,000 $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525,000 $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525,000 $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</w:tr>
      <w:tr w:rsidR="0017261F" w:rsidRPr="003301C3" w:rsidTr="0017261F">
        <w:trPr>
          <w:trHeight w:val="276"/>
        </w:trPr>
        <w:tc>
          <w:tcPr>
            <w:tcW w:w="1061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0.14/0.28</w:t>
            </w:r>
          </w:p>
        </w:tc>
        <w:tc>
          <w:tcPr>
            <w:tcW w:w="114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 w:rsidRPr="003301C3">
              <w:rPr>
                <w:sz w:val="20"/>
                <w:szCs w:val="20"/>
              </w:rPr>
              <w:t>Žuti/Crveni</w:t>
            </w:r>
          </w:p>
        </w:tc>
        <w:tc>
          <w:tcPr>
            <w:tcW w:w="109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1,500,000 $</w:t>
            </w:r>
          </w:p>
        </w:tc>
        <w:tc>
          <w:tcPr>
            <w:tcW w:w="1143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1,050,000 $</w:t>
            </w:r>
          </w:p>
        </w:tc>
        <w:tc>
          <w:tcPr>
            <w:tcW w:w="1086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68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84" w:type="dxa"/>
          </w:tcPr>
          <w:p w:rsidR="0017261F" w:rsidRPr="003301C3" w:rsidRDefault="0017261F" w:rsidP="00377D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420,000 $</w:t>
            </w: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vMerge/>
          </w:tcPr>
          <w:p w:rsidR="0017261F" w:rsidRDefault="0017261F" w:rsidP="00377D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0C7C60" w:rsidRDefault="000C7C60" w:rsidP="00377D9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134A9" w:rsidTr="004134A9">
        <w:tc>
          <w:tcPr>
            <w:tcW w:w="4644" w:type="dxa"/>
          </w:tcPr>
          <w:p w:rsidR="004134A9" w:rsidRPr="004134A9" w:rsidRDefault="004134A9" w:rsidP="004134A9">
            <w:pPr>
              <w:jc w:val="center"/>
              <w:rPr>
                <w:sz w:val="20"/>
                <w:szCs w:val="20"/>
              </w:rPr>
            </w:pPr>
            <w:r w:rsidRPr="004134A9">
              <w:rPr>
                <w:sz w:val="20"/>
                <w:szCs w:val="20"/>
              </w:rPr>
              <w:t>Oznaka odziva</w:t>
            </w:r>
          </w:p>
        </w:tc>
        <w:tc>
          <w:tcPr>
            <w:tcW w:w="4644" w:type="dxa"/>
          </w:tcPr>
          <w:p w:rsidR="004134A9" w:rsidRPr="004134A9" w:rsidRDefault="004134A9" w:rsidP="004134A9">
            <w:pPr>
              <w:jc w:val="center"/>
              <w:rPr>
                <w:sz w:val="20"/>
                <w:szCs w:val="20"/>
              </w:rPr>
            </w:pPr>
            <w:r w:rsidRPr="004134A9">
              <w:rPr>
                <w:sz w:val="20"/>
                <w:szCs w:val="20"/>
              </w:rPr>
              <w:t>Opis odziva</w:t>
            </w:r>
          </w:p>
        </w:tc>
      </w:tr>
      <w:tr w:rsidR="004134A9" w:rsidTr="004134A9">
        <w:tc>
          <w:tcPr>
            <w:tcW w:w="4644" w:type="dxa"/>
          </w:tcPr>
          <w:p w:rsidR="004134A9" w:rsidRPr="004134A9" w:rsidRDefault="004134A9" w:rsidP="004134A9">
            <w:pPr>
              <w:jc w:val="center"/>
              <w:rPr>
                <w:sz w:val="20"/>
                <w:szCs w:val="20"/>
              </w:rPr>
            </w:pPr>
            <w:r w:rsidRPr="004134A9">
              <w:rPr>
                <w:sz w:val="20"/>
                <w:szCs w:val="20"/>
              </w:rPr>
              <w:t>A</w:t>
            </w:r>
          </w:p>
        </w:tc>
        <w:tc>
          <w:tcPr>
            <w:tcW w:w="4644" w:type="dxa"/>
          </w:tcPr>
          <w:p w:rsidR="004134A9" w:rsidRPr="004134A9" w:rsidRDefault="00744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Nužna je prisutnost dobrog odvjetničkog tima koji će u slučaju problema s dobivanjem patentnih prava poduzeti  sve potrebne mjere i iskoristiti dostupne izvore kako bi se prava dobila.</w:t>
            </w:r>
          </w:p>
        </w:tc>
      </w:tr>
      <w:tr w:rsidR="004134A9" w:rsidTr="004134A9">
        <w:tc>
          <w:tcPr>
            <w:tcW w:w="4644" w:type="dxa"/>
          </w:tcPr>
          <w:p w:rsidR="004134A9" w:rsidRPr="004134A9" w:rsidRDefault="004134A9" w:rsidP="004134A9">
            <w:pPr>
              <w:jc w:val="center"/>
              <w:rPr>
                <w:sz w:val="20"/>
                <w:szCs w:val="20"/>
              </w:rPr>
            </w:pPr>
            <w:r w:rsidRPr="004134A9">
              <w:rPr>
                <w:sz w:val="20"/>
                <w:szCs w:val="20"/>
              </w:rPr>
              <w:t>B</w:t>
            </w:r>
          </w:p>
        </w:tc>
        <w:tc>
          <w:tcPr>
            <w:tcW w:w="4644" w:type="dxa"/>
          </w:tcPr>
          <w:p w:rsidR="004134A9" w:rsidRPr="004134A9" w:rsidRDefault="007F71EC" w:rsidP="00475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Ulaganje dodatnih imovinskih resursa , u smislu povećavanja broja radnih sati</w:t>
            </w:r>
            <w:r w:rsidR="00475DFD">
              <w:rPr>
                <w:sz w:val="20"/>
                <w:szCs w:val="20"/>
              </w:rPr>
              <w:t>, nabava dodatne opreme koja bi mogla ubrzati</w:t>
            </w:r>
            <w:r>
              <w:rPr>
                <w:sz w:val="20"/>
                <w:szCs w:val="20"/>
              </w:rPr>
              <w:t xml:space="preserve"> razvoj projekta. Izbjegavati zapošljavanje novih djelatnika, budući da to samo produljuje rok izvođenja, jer ih je potrebno educirati i uvesti u projekt.</w:t>
            </w:r>
          </w:p>
        </w:tc>
      </w:tr>
      <w:tr w:rsidR="004134A9" w:rsidTr="004134A9">
        <w:tc>
          <w:tcPr>
            <w:tcW w:w="4644" w:type="dxa"/>
          </w:tcPr>
          <w:p w:rsidR="004134A9" w:rsidRPr="004134A9" w:rsidRDefault="004134A9" w:rsidP="004134A9">
            <w:pPr>
              <w:jc w:val="center"/>
              <w:rPr>
                <w:sz w:val="20"/>
                <w:szCs w:val="20"/>
              </w:rPr>
            </w:pPr>
            <w:r w:rsidRPr="004134A9">
              <w:rPr>
                <w:sz w:val="20"/>
                <w:szCs w:val="20"/>
              </w:rPr>
              <w:t>C</w:t>
            </w:r>
          </w:p>
        </w:tc>
        <w:tc>
          <w:tcPr>
            <w:tcW w:w="4644" w:type="dxa"/>
          </w:tcPr>
          <w:p w:rsidR="004134A9" w:rsidRPr="004134A9" w:rsidRDefault="00493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Iskoristiti poznanstva i veze koje bi mogle ubrzati proces birokracije, naravno uz činjenicu da se ne radi o nikakvim protuzakonitim ili protuustavnim pravima.</w:t>
            </w:r>
          </w:p>
        </w:tc>
      </w:tr>
    </w:tbl>
    <w:p w:rsidR="004134A9" w:rsidRDefault="004134A9"/>
    <w:sectPr w:rsidR="00413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60"/>
    <w:rsid w:val="000C7C60"/>
    <w:rsid w:val="0017261F"/>
    <w:rsid w:val="003301C3"/>
    <w:rsid w:val="00377D93"/>
    <w:rsid w:val="004134A9"/>
    <w:rsid w:val="00475DFD"/>
    <w:rsid w:val="00493768"/>
    <w:rsid w:val="00697A2B"/>
    <w:rsid w:val="00744F5B"/>
    <w:rsid w:val="007F71EC"/>
    <w:rsid w:val="008B09F2"/>
    <w:rsid w:val="00A24DA9"/>
    <w:rsid w:val="00A57553"/>
    <w:rsid w:val="00C655D8"/>
    <w:rsid w:val="00DE3A85"/>
    <w:rsid w:val="00D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Etjen</dc:creator>
  <cp:lastModifiedBy>Etjen</cp:lastModifiedBy>
  <cp:revision>13</cp:revision>
  <dcterms:created xsi:type="dcterms:W3CDTF">2013-01-07T21:11:00Z</dcterms:created>
  <dcterms:modified xsi:type="dcterms:W3CDTF">2013-01-08T00:04:00Z</dcterms:modified>
</cp:coreProperties>
</file>