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CEDA" w14:textId="5FB4F2D4" w:rsidR="00A13E7E" w:rsidRPr="00A13E7E" w:rsidRDefault="00A13E7E">
      <w:pPr>
        <w:rPr>
          <w:lang w:val="pt-BR"/>
        </w:rPr>
      </w:pPr>
      <w:r w:rsidRPr="00A13E7E">
        <w:rPr>
          <w:lang w:val="pt-BR"/>
        </w:rPr>
        <w:t>Nao ha certezas, apenas oportunidades (</w:t>
      </w:r>
      <w:r>
        <w:rPr>
          <w:lang w:val="pt-BR"/>
        </w:rPr>
        <w:t>V de Vingaca)</w:t>
      </w:r>
    </w:p>
    <w:sectPr w:rsidR="00A13E7E" w:rsidRPr="00A13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E"/>
    <w:rsid w:val="00A1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886"/>
  <w15:chartTrackingRefBased/>
  <w15:docId w15:val="{1A5EBE9C-E625-4AAC-8823-D2D5066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1</cp:revision>
  <dcterms:created xsi:type="dcterms:W3CDTF">2021-07-18T03:32:00Z</dcterms:created>
  <dcterms:modified xsi:type="dcterms:W3CDTF">2021-07-18T03:34:00Z</dcterms:modified>
</cp:coreProperties>
</file>