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Planejamento do Projeto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 geral a ser investigado: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Interesse, relacionamento, experiências e expectativas da população quixadaense, principalmente a parcela adolescente e jovem adulta, em relação a cultura regional de Quixadá (histórias, contos, folclore, patrimônio imaterial em geral)  e as tecnologias digitais e virtuais.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Local e dias previstos para coleta: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Praça do Leão, 11/04</w:t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highlight w:val="white"/>
          <w:rtl w:val="0"/>
        </w:rPr>
        <w:t xml:space="preserve">Casa de Saberes Cego Aderaldo,</w:t>
      </w:r>
      <w:r w:rsidDel="00000000" w:rsidR="00000000" w:rsidRPr="00000000">
        <w:rPr>
          <w:rtl w:val="0"/>
        </w:rPr>
        <w:t xml:space="preserve"> 11/04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Rodoviária, 11/04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Praça do Chalé da Pedra, 11/04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 de participantes e quantidade prevista: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 foco primário é em adolescentes e jovens adultos, de 15 a 25 anos. O ideal seria entrevistar pelo menos cinco pessoas.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Outros focos são: adultos de 25 a 50 anos de idade, profissionais de áreas que tangem a cultura, como guias turísticos, professores, curadores.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