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3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Tipografia 2020.1 418850 Layla Maria Costa Santana Pesquisa sobre um personagem folclórico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85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Yara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Lenda da Iara, também conhecida como Lenda da Mãe d’água, faz parte do folclore brasileiro. Trata-se de uma lenda folclórica de origem indígena, oriunda da região amazônica. Apesar de ser originária dessa região, a Lenda da Iara é conhecida em todo Brasil. Iara ou Yara, do indígena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Iuara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significa “aquela que mora nas águas”. É uma sereia (metade mulher, metade peixe) que vive nas águas amazônicas. Muitas vezes, a figura de Iara é confundida com o orixá africano Iemanjá, a rainha do mar. Com longos cabelos pretos e olhos castanhos, a sereia Iara emite uma melodia que atrai os homens, os quais ficam rendidos e hipnotizados com seu canto e sua voz doce. Dependendo da região brasileira, a representação da índia pode diferir, por exemplo, na cor dos olhos e dos seus cabelos, que ora são escuros, ora são claros. Reza a lenda que a Iara era uma corajosa guerreira dona de uma beleza invejável. Por esse motivo, os irmãos sentiam inveja dela e resolvem matá-la. Todavia, no momento do combate, pelo fato de possuir habilidades guerreiras, Iara consegue inverter a situação e acaba matando seus irmãos. Diante disso, com muito medo da punição de seu pai, o pajé da tribo, Iara resolve fugir, mas seu pai consegue encontrá-la. Como castigo pela morte dos irmãos, ele resolve lançá-la ao rio. Os peixes do rio resolvem salvar a bela jovem transformando-a na sereia Iara. Desde então, Iara habita os rios amazônicos conquistando homens e depois levando-os ao fundo do rio, os quais morrem afogados. Acredita-se que se o homem consegue escapar dos encantos de Iara ele fica louco e somente um pajé poderá curá-lo.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3911.999999999999" w:firstLine="0"/>
        <w:jc w:val="left"/>
        <w:rPr>
          <w:color w:val="1155cc"/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fonte: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https://www.todamateria.com.br/lenda-da-iara/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3911.9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10 palavras-chave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78.4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água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rios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beleza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querreira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indía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amazônia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vingança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sereia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sedução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3911.999999999999" w:hanging="360"/>
        <w:jc w:val="left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encanto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