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DA179" w14:textId="77777777" w:rsidR="003D0473" w:rsidRDefault="00000000">
      <w:pPr>
        <w:pStyle w:val="Ttulo1"/>
        <w:spacing w:before="240" w:after="160"/>
      </w:pPr>
      <w:r>
        <w:rPr>
          <w:b/>
          <w:bCs/>
          <w:color w:val="3D0631"/>
        </w:rPr>
        <w:t>Casos do dia · Grupo VIP</w:t>
      </w:r>
    </w:p>
    <w:p w14:paraId="3D68508F" w14:textId="77777777" w:rsidR="003D0473" w:rsidRDefault="00000000">
      <w:pPr>
        <w:spacing w:after="100"/>
      </w:pPr>
      <w:r>
        <w:rPr>
          <w:i/>
          <w:iCs/>
          <w:color w:val="C01275"/>
          <w:sz w:val="21"/>
          <w:szCs w:val="21"/>
        </w:rPr>
        <w:t>Dra. Maria Paula · validar até quarta, 11/11</w:t>
      </w:r>
    </w:p>
    <w:p w14:paraId="65E7613A" w14:textId="77777777" w:rsidR="003D0473" w:rsidRDefault="00000000">
      <w:pPr>
        <w:spacing w:after="100"/>
      </w:pPr>
      <w:r>
        <w:rPr>
          <w:sz w:val="21"/>
          <w:szCs w:val="21"/>
        </w:rPr>
        <w:t>De 12/11 a 26/11, sai um caso por dia no Grupo VIP: às 12h o caso com uma enquete, às 19h30 a resposta. A resposta mostra a conduta, sem dose, e manda para a página do Guia onde está o protocolo completo. Se você mandar a foto da página, ela vai junto com a resposta.</w:t>
      </w:r>
    </w:p>
    <w:p w14:paraId="7889E1C2" w14:textId="77777777" w:rsidR="003D0473" w:rsidRDefault="00000000">
      <w:pPr>
        <w:spacing w:after="100"/>
      </w:pPr>
      <w:r>
        <w:rPr>
          <w:sz w:val="21"/>
          <w:szCs w:val="21"/>
        </w:rPr>
        <w:t>Os casos foram montados a partir do Guia de Protocolos, Volume 3. Em cada um, confira:</w:t>
      </w:r>
    </w:p>
    <w:p w14:paraId="5CA6BAB3" w14:textId="77777777" w:rsidR="003D0473" w:rsidRDefault="00000000">
      <w:pPr>
        <w:pStyle w:val="PargrafodaLista"/>
        <w:numPr>
          <w:ilvl w:val="0"/>
          <w:numId w:val="2"/>
        </w:numPr>
        <w:spacing w:after="70"/>
      </w:pPr>
      <w:r>
        <w:rPr>
          <w:sz w:val="21"/>
          <w:szCs w:val="21"/>
        </w:rPr>
        <w:t>se a conduta está certa e é a que você usa;</w:t>
      </w:r>
    </w:p>
    <w:p w14:paraId="03553C2C" w14:textId="77777777" w:rsidR="003D0473" w:rsidRDefault="00000000">
      <w:pPr>
        <w:pStyle w:val="PargrafodaLista"/>
        <w:numPr>
          <w:ilvl w:val="0"/>
          <w:numId w:val="2"/>
        </w:numPr>
        <w:spacing w:after="70"/>
      </w:pPr>
      <w:r>
        <w:rPr>
          <w:sz w:val="21"/>
          <w:szCs w:val="21"/>
        </w:rPr>
        <w:t>se a alternativa em verde é mesmo a certa, e as outras são erros que você vê na rotina;</w:t>
      </w:r>
    </w:p>
    <w:p w14:paraId="77F220F9" w14:textId="77777777" w:rsidR="003D0473" w:rsidRDefault="00000000">
      <w:pPr>
        <w:pStyle w:val="PargrafodaLista"/>
        <w:numPr>
          <w:ilvl w:val="0"/>
          <w:numId w:val="2"/>
        </w:numPr>
        <w:spacing w:after="70"/>
      </w:pPr>
      <w:r>
        <w:rPr>
          <w:sz w:val="21"/>
          <w:szCs w:val="21"/>
        </w:rPr>
        <w:t>se a página indicada é a certa.</w:t>
      </w:r>
    </w:p>
    <w:p w14:paraId="1EE7EB1F" w14:textId="77777777" w:rsidR="003D0473" w:rsidRDefault="00000000">
      <w:pPr>
        <w:spacing w:after="100"/>
      </w:pPr>
      <w:r>
        <w:rPr>
          <w:sz w:val="21"/>
          <w:szCs w:val="21"/>
        </w:rPr>
        <w:t xml:space="preserve">Os casos com </w:t>
      </w:r>
      <w:r>
        <w:rPr>
          <w:b/>
          <w:bCs/>
          <w:color w:val="A64B00"/>
          <w:sz w:val="21"/>
          <w:szCs w:val="21"/>
        </w:rPr>
        <w:t>⚠ Conferir com atenção</w:t>
      </w:r>
      <w:r>
        <w:rPr>
          <w:sz w:val="21"/>
          <w:szCs w:val="21"/>
        </w:rPr>
        <w:t xml:space="preserve"> têm um ponto em que a conduta pode variar. Se não concordar, é só escrever o ajuste ou trocar por um dos 2 reservas do fim.</w:t>
      </w:r>
    </w:p>
    <w:p w14:paraId="4233B5A4" w14:textId="77777777" w:rsidR="003D0473" w:rsidRDefault="00000000">
      <w:pPr>
        <w:spacing w:after="100"/>
      </w:pPr>
      <w:r>
        <w:rPr>
          <w:sz w:val="21"/>
          <w:szCs w:val="21"/>
        </w:rPr>
        <w:t>Marque OK ou escreva o ajuste em cada um. E marque "foto da página" se for mandar a foto.</w:t>
      </w:r>
    </w:p>
    <w:p w14:paraId="54CC22F4" w14:textId="77777777" w:rsidR="003D0473" w:rsidRDefault="00000000">
      <w:pPr>
        <w:pStyle w:val="Ttulo1"/>
        <w:spacing w:before="240" w:after="160"/>
      </w:pPr>
      <w:r>
        <w:rPr>
          <w:b/>
          <w:bCs/>
          <w:color w:val="3D0631"/>
        </w:rPr>
        <w:t>Casos para validar</w:t>
      </w:r>
    </w:p>
    <w:p w14:paraId="3665C455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#1 · AINE no gato · Gato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16728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29B49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02CCA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quinta, 12/11: 12h o caso, 19h30 a resposta</w:t>
            </w:r>
          </w:p>
        </w:tc>
      </w:tr>
      <w:tr w:rsidR="003D0473" w14:paraId="5070F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18654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F112F5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Gata persa, 12 anos, com dor e limitação articular por doença articular degenerativa. Na escolha do anti-inflamatório não esteroidal, qual fármaco é contraindicado para a espécie felina?</w:t>
            </w:r>
          </w:p>
        </w:tc>
      </w:tr>
      <w:tr w:rsidR="003D0473" w14:paraId="645E9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ECBE05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429517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fármaco é contraindicado?</w:t>
            </w:r>
          </w:p>
          <w:p w14:paraId="0E5E73F1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Carprofeno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 w14:paraId="58929D3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B) </w:t>
            </w:r>
            <w:proofErr w:type="spellStart"/>
            <w:r>
              <w:rPr>
                <w:sz w:val="21"/>
                <w:szCs w:val="21"/>
              </w:rPr>
              <w:t>Meloxicam</w:t>
            </w:r>
            <w:proofErr w:type="spellEnd"/>
          </w:p>
          <w:p w14:paraId="0BA56D4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Dipirona</w:t>
            </w:r>
          </w:p>
        </w:tc>
      </w:tr>
      <w:tr w:rsidR="003D0473" w14:paraId="2409E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2649B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E749D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</w:t>
            </w:r>
            <w:proofErr w:type="spellStart"/>
            <w:r>
              <w:rPr>
                <w:sz w:val="21"/>
                <w:szCs w:val="21"/>
              </w:rPr>
              <w:t>A</w:t>
            </w:r>
            <w:proofErr w:type="spellEnd"/>
            <w:r>
              <w:rPr>
                <w:sz w:val="21"/>
                <w:szCs w:val="21"/>
              </w:rPr>
              <w:t xml:space="preserve">. O </w:t>
            </w:r>
            <w:proofErr w:type="spellStart"/>
            <w:r>
              <w:rPr>
                <w:sz w:val="21"/>
                <w:szCs w:val="21"/>
              </w:rPr>
              <w:t>carprofeno</w:t>
            </w:r>
            <w:proofErr w:type="spellEnd"/>
            <w:r>
              <w:rPr>
                <w:sz w:val="21"/>
                <w:szCs w:val="21"/>
              </w:rPr>
              <w:t xml:space="preserve"> é contraindicado em felinos, pelo alto risco de toxicidade renal e hepática nessa espécie. Para a dor articular do gato, usamos opções com segurança comprovada para a espécie, por períodos curtos, dentro de uma analgesia multimodal.</w:t>
            </w:r>
          </w:p>
        </w:tc>
      </w:tr>
      <w:tr w:rsidR="003D0473" w14:paraId="16FB3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E45B97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9A6AA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tabela de </w:t>
            </w:r>
            <w:proofErr w:type="spellStart"/>
            <w:r>
              <w:rPr>
                <w:sz w:val="21"/>
                <w:szCs w:val="21"/>
              </w:rPr>
              <w:t>AINEs</w:t>
            </w:r>
            <w:proofErr w:type="spellEnd"/>
            <w:r>
              <w:rPr>
                <w:sz w:val="21"/>
                <w:szCs w:val="21"/>
              </w:rPr>
              <w:t xml:space="preserve"> permitidos e proibidos para gatos, a analgesia multimodal felina e a conduta na dor crônica.</w:t>
            </w:r>
          </w:p>
        </w:tc>
      </w:tr>
      <w:tr w:rsidR="003D0473" w14:paraId="0B090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C1D4E6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11482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Alterações Osteoarticulares · "Artrite e Artrose" · p. 17</w:t>
            </w:r>
          </w:p>
        </w:tc>
      </w:tr>
      <w:tr w:rsidR="003D0473" w14:paraId="26C1C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27F386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B65AB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Página 17, nas observações sobre o uso de </w:t>
            </w:r>
            <w:proofErr w:type="spellStart"/>
            <w:r>
              <w:rPr>
                <w:sz w:val="21"/>
                <w:szCs w:val="21"/>
              </w:rPr>
              <w:t>AINEs</w:t>
            </w:r>
            <w:proofErr w:type="spellEnd"/>
            <w:r>
              <w:rPr>
                <w:sz w:val="21"/>
                <w:szCs w:val="21"/>
              </w:rPr>
              <w:t xml:space="preserve"> em gatos.</w:t>
            </w:r>
          </w:p>
        </w:tc>
      </w:tr>
      <w:tr w:rsidR="003D0473" w14:paraId="62AC1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12CCF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⚠ Conferir com atenção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4E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4CFDA9" w14:textId="77777777" w:rsidR="003D0473" w:rsidRDefault="00000000"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"Estritamente contraindicado" é forte: há quem use </w:t>
            </w:r>
            <w:proofErr w:type="spellStart"/>
            <w:r>
              <w:rPr>
                <w:color w:val="A64B00"/>
                <w:sz w:val="21"/>
                <w:szCs w:val="21"/>
              </w:rPr>
              <w:t>carprofeno</w:t>
            </w:r>
            <w:proofErr w:type="spellEnd"/>
            <w:r>
              <w:rPr>
                <w:color w:val="A64B00"/>
                <w:sz w:val="21"/>
                <w:szCs w:val="21"/>
              </w:rPr>
              <w:t xml:space="preserve"> em dose única no gato. Confirmar se é o que o Guia diz. A dipirona como alternativa "errada" também merece um olhar.</w:t>
            </w:r>
          </w:p>
        </w:tc>
      </w:tr>
      <w:tr w:rsidR="003D0473" w14:paraId="453A2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8485F7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144BA5" w14:textId="354EE241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  <w:r w:rsidR="00B12B86">
              <w:rPr>
                <w:sz w:val="21"/>
                <w:szCs w:val="21"/>
              </w:rPr>
              <w:t xml:space="preserve"> </w:t>
            </w:r>
          </w:p>
          <w:p w14:paraId="17A6B69C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71B844F4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63DDCD57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4F1B691B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 xml:space="preserve">Caso #2 · Otite por </w:t>
      </w:r>
      <w:proofErr w:type="spellStart"/>
      <w:r>
        <w:rPr>
          <w:b/>
          <w:bCs/>
          <w:color w:val="C01275"/>
          <w:sz w:val="25"/>
          <w:szCs w:val="25"/>
        </w:rPr>
        <w:t>Malassezia</w:t>
      </w:r>
      <w:proofErr w:type="spellEnd"/>
      <w:r>
        <w:rPr>
          <w:b/>
          <w:bCs/>
          <w:color w:val="C01275"/>
          <w:sz w:val="25"/>
          <w:szCs w:val="25"/>
        </w:rPr>
        <w:t xml:space="preserve">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79460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9C1D3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1A33E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sexta, 13/11: 12h o caso, 19h30 a resposta</w:t>
            </w:r>
          </w:p>
        </w:tc>
      </w:tr>
      <w:tr w:rsidR="003D0473" w14:paraId="40888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4AD322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926DB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Cocker </w:t>
            </w:r>
            <w:proofErr w:type="spellStart"/>
            <w:r>
              <w:rPr>
                <w:sz w:val="21"/>
                <w:szCs w:val="21"/>
              </w:rPr>
              <w:t>Spaniel</w:t>
            </w:r>
            <w:proofErr w:type="spellEnd"/>
            <w:r>
              <w:rPr>
                <w:sz w:val="21"/>
                <w:szCs w:val="21"/>
              </w:rPr>
              <w:t xml:space="preserve">, 5 anos, com eritema, prurido e secreção enegrecida e ceruminosa nos dois condutos auditivos. A citologia mostra muita </w:t>
            </w:r>
            <w:proofErr w:type="spellStart"/>
            <w:r>
              <w:rPr>
                <w:sz w:val="21"/>
                <w:szCs w:val="21"/>
              </w:rPr>
              <w:t>Malassezia</w:t>
            </w:r>
            <w:proofErr w:type="spellEnd"/>
            <w:r>
              <w:rPr>
                <w:sz w:val="21"/>
                <w:szCs w:val="21"/>
              </w:rPr>
              <w:t xml:space="preserve"> sp., sem cocos e sem bacilos. Qual é a sua conduta?</w:t>
            </w:r>
          </w:p>
        </w:tc>
      </w:tr>
      <w:tr w:rsidR="003D0473" w14:paraId="19391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0F18C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35CBF4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sua conduta?</w:t>
            </w:r>
          </w:p>
          <w:p w14:paraId="69DE24A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Antibiótico otológico com gentamicina e corticoide</w:t>
            </w:r>
          </w:p>
          <w:p w14:paraId="0A322DA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B) Antibiótico sistêmico por via oral por vinte dias</w:t>
            </w:r>
          </w:p>
          <w:p w14:paraId="420D7472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C) Solução otológica antifúngica, sem antibiótico   ✔ certa</w:t>
            </w:r>
          </w:p>
        </w:tc>
      </w:tr>
      <w:tr w:rsidR="003D0473" w14:paraId="4FEFF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0ED18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87F5D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 resposta é a C. Solução otológica antifúngica, sem antibiótico. Quando a citologia mostra só leveduras, não há motivo para incluir antibacteriano. O antibiótico tópico sem indicação ainda seleciona bactérias resistentes no conduto, e a próxima otite fica mais difícil.</w:t>
            </w:r>
          </w:p>
        </w:tc>
      </w:tr>
      <w:tr w:rsidR="003D0473" w14:paraId="18CF7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8B4E6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4C2FB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 classificação das otites pela citologia, o ativo para cocos, bacilos ou leveduras, o protocolo de limpeza e a conduta nas otites recidivantes.</w:t>
            </w:r>
          </w:p>
        </w:tc>
      </w:tr>
      <w:tr w:rsidR="003D0473" w14:paraId="4EBAE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53CEE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34EED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Dermatopatias · "Otite por </w:t>
            </w:r>
            <w:proofErr w:type="spellStart"/>
            <w:r>
              <w:rPr>
                <w:sz w:val="21"/>
                <w:szCs w:val="21"/>
              </w:rPr>
              <w:t>Malassezia</w:t>
            </w:r>
            <w:proofErr w:type="spellEnd"/>
            <w:r>
              <w:rPr>
                <w:sz w:val="21"/>
                <w:szCs w:val="21"/>
              </w:rPr>
              <w:t>" · p. 46</w:t>
            </w:r>
          </w:p>
        </w:tc>
      </w:tr>
      <w:tr w:rsidR="003D0473" w14:paraId="1257E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56C0B9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2C5F7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Página 46, no tópico "Otite por </w:t>
            </w:r>
            <w:proofErr w:type="spellStart"/>
            <w:r>
              <w:rPr>
                <w:sz w:val="21"/>
                <w:szCs w:val="21"/>
              </w:rPr>
              <w:t>Malassezia</w:t>
            </w:r>
            <w:proofErr w:type="spellEnd"/>
            <w:r>
              <w:rPr>
                <w:sz w:val="21"/>
                <w:szCs w:val="21"/>
              </w:rPr>
              <w:t xml:space="preserve"> (sem presença de bactérias)".</w:t>
            </w:r>
          </w:p>
        </w:tc>
      </w:tr>
      <w:tr w:rsidR="003D0473" w14:paraId="7DB7C0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91270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92A663" w14:textId="2E4AB1C1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0605E6F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2B79E0F4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0D7292C9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7F75CE68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#3 · Antiemético na parvovirose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2C659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7C5E1F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33AC4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domingo, 15/11: 12h o caso, 19h30 a resposta</w:t>
            </w:r>
          </w:p>
        </w:tc>
      </w:tr>
      <w:tr w:rsidR="003D0473" w14:paraId="2A092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1315F1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3D985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Filhote de Pitbull, 4 meses, chega no plantão com diarreia fétida e sanguinolenta, prostração e vômitos frequentes. Para controlar o vômito e a dor visceral, qual antiemético você evita nesse paciente?</w:t>
            </w:r>
          </w:p>
        </w:tc>
      </w:tr>
      <w:tr w:rsidR="003D0473" w14:paraId="7FF4D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089D8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8F055A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antiemético você evita?</w:t>
            </w:r>
          </w:p>
          <w:p w14:paraId="56CD1CF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A) </w:t>
            </w:r>
            <w:proofErr w:type="spellStart"/>
            <w:r>
              <w:rPr>
                <w:sz w:val="21"/>
                <w:szCs w:val="21"/>
              </w:rPr>
              <w:t>Maropitant</w:t>
            </w:r>
            <w:proofErr w:type="spellEnd"/>
          </w:p>
          <w:p w14:paraId="15DD36AE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Metoclopramida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 w14:paraId="628769D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Ondansetrona</w:t>
            </w:r>
          </w:p>
        </w:tc>
      </w:tr>
      <w:tr w:rsidR="003D0473" w14:paraId="41C01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3158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1D512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B. A </w:t>
            </w:r>
            <w:proofErr w:type="spellStart"/>
            <w:r>
              <w:rPr>
                <w:sz w:val="21"/>
                <w:szCs w:val="21"/>
              </w:rPr>
              <w:t>metoclopramida</w:t>
            </w:r>
            <w:proofErr w:type="spellEnd"/>
            <w:r>
              <w:rPr>
                <w:sz w:val="21"/>
                <w:szCs w:val="21"/>
              </w:rPr>
              <w:t xml:space="preserve">. Por ser procinética, ela aumenta o peristaltismo e pode piorar as cólicas, a dor visceral e o risco de intussuscepção no paciente com parvovirose. Para o vômito, preferimos o </w:t>
            </w:r>
            <w:proofErr w:type="spellStart"/>
            <w:r>
              <w:rPr>
                <w:sz w:val="21"/>
                <w:szCs w:val="21"/>
              </w:rPr>
              <w:t>maropitant</w:t>
            </w:r>
            <w:proofErr w:type="spellEnd"/>
            <w:r>
              <w:rPr>
                <w:sz w:val="21"/>
                <w:szCs w:val="21"/>
              </w:rPr>
              <w:t xml:space="preserve"> ou a ondansetrona.</w:t>
            </w:r>
          </w:p>
        </w:tc>
      </w:tr>
      <w:tr w:rsidR="003D0473" w14:paraId="0AE55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652825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C1B26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O suporte completo na parvovirose, com a </w:t>
            </w:r>
            <w:proofErr w:type="spellStart"/>
            <w:r>
              <w:rPr>
                <w:sz w:val="21"/>
                <w:szCs w:val="21"/>
              </w:rPr>
              <w:t>fluidoterapia</w:t>
            </w:r>
            <w:proofErr w:type="spellEnd"/>
            <w:r>
              <w:rPr>
                <w:sz w:val="21"/>
                <w:szCs w:val="21"/>
              </w:rPr>
              <w:t xml:space="preserve"> de reposição, os antieméticos indicados e o protocolo para tutores de baixa renda.</w:t>
            </w:r>
          </w:p>
        </w:tc>
      </w:tr>
      <w:tr w:rsidR="003D0473" w14:paraId="32012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CCFB6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636C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Doenças Infectocontagiosas · "Parvovirose" · p. 78</w:t>
            </w:r>
          </w:p>
        </w:tc>
      </w:tr>
      <w:tr w:rsidR="003D0473" w14:paraId="53F96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EC92A6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C2D886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78, no item "Controle de náuseas e vômitos".</w:t>
            </w:r>
          </w:p>
        </w:tc>
      </w:tr>
      <w:tr w:rsidR="003D0473" w14:paraId="7DE1A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FE410F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12995F" w14:textId="581293AE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5792787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2924A52E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55AE2AAE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15A82DB4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#4 · Gato agressivo na consulta · Gato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4F91A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EE19B8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5DA50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segunda, 16/11: 12h o caso, 19h30 a resposta</w:t>
            </w:r>
          </w:p>
        </w:tc>
      </w:tr>
      <w:tr w:rsidR="003D0473" w14:paraId="1911F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64AE8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88C59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Gato de 4 anos, muito arredio e estressado, precisa de exame físico e coleta de exames. A tutora conta que ele não deixa ninguém manipular na clínica. Qual protocolo oral você indica antes da consulta?</w:t>
            </w:r>
          </w:p>
        </w:tc>
      </w:tr>
      <w:tr w:rsidR="003D0473" w14:paraId="32CCE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47BB39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E66E25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sua conduta?</w:t>
            </w:r>
          </w:p>
          <w:p w14:paraId="471C659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Trazodona oral duas horas antes da consulta</w:t>
            </w:r>
          </w:p>
          <w:p w14:paraId="2773590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B) Acepromazina oral em gota antes de sair de casa</w:t>
            </w:r>
          </w:p>
          <w:p w14:paraId="0F2C5531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Gabapentina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oral duas horas antes da consulta   ✔ certa</w:t>
            </w:r>
          </w:p>
        </w:tc>
      </w:tr>
      <w:tr w:rsidR="003D0473" w14:paraId="15C04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35359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563F1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C. </w:t>
            </w:r>
            <w:proofErr w:type="spellStart"/>
            <w:r>
              <w:rPr>
                <w:sz w:val="21"/>
                <w:szCs w:val="21"/>
              </w:rPr>
              <w:t>Gabapentina</w:t>
            </w:r>
            <w:proofErr w:type="spellEnd"/>
            <w:r>
              <w:rPr>
                <w:sz w:val="21"/>
                <w:szCs w:val="21"/>
              </w:rPr>
              <w:t xml:space="preserve"> oral, duas horas antes do atendimento. É a tranquilização oral para o gato ansioso ou agressivo; a trazodona é a opção para os cães. Com o gato mais tranquilo, o exame fica mais completo e seguro para todos: paciente, tutor e equipe.</w:t>
            </w:r>
          </w:p>
        </w:tc>
      </w:tr>
      <w:tr w:rsidR="003D0473" w14:paraId="17671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9B9B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56E39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manejo do paciente ansioso, os protocolos de tranquilização oral para cães e gatos e as orientações de segurança na consulta.</w:t>
            </w:r>
          </w:p>
        </w:tc>
      </w:tr>
      <w:tr w:rsidR="003D0473" w14:paraId="53600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D4B20F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BFCE7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Clínica Geral · "Exame Físico: Roteiro e Abordagem" · p. 12</w:t>
            </w:r>
          </w:p>
        </w:tc>
      </w:tr>
      <w:tr w:rsidR="003D0473" w14:paraId="2052D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C425B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E68A4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12, no tópico de tranquilização oral para cães e gatos.</w:t>
            </w:r>
          </w:p>
        </w:tc>
      </w:tr>
      <w:tr w:rsidR="003D0473" w14:paraId="5650A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1F099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BF117D" w14:textId="5BB84EE1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300EAE05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3E36C5D7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6E7C701A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36E57F52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#5 · Manutenção da atopia · Cão · novo no Volume 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7CD5E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523998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7836A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quarta, 18/11: 12h o caso, 19h30 a resposta</w:t>
            </w:r>
          </w:p>
        </w:tc>
      </w:tr>
      <w:tr w:rsidR="003D0473" w14:paraId="099B64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CAE18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3B3CE1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Shih </w:t>
            </w:r>
            <w:proofErr w:type="spellStart"/>
            <w:r>
              <w:rPr>
                <w:sz w:val="21"/>
                <w:szCs w:val="21"/>
              </w:rPr>
              <w:t>Tzu</w:t>
            </w:r>
            <w:proofErr w:type="spellEnd"/>
            <w:r>
              <w:rPr>
                <w:sz w:val="21"/>
                <w:szCs w:val="21"/>
              </w:rPr>
              <w:t>, 3 anos, atópico, com o prurido controlado depois de uma crise. O tutor quer saber como manter o controle a longo prazo, sem os efeitos do corticoide. Qual é a sua conduta de manutenção?</w:t>
            </w:r>
          </w:p>
        </w:tc>
      </w:tr>
      <w:tr w:rsidR="003D0473" w14:paraId="39F8B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5BDD3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414691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sua conduta?</w:t>
            </w:r>
          </w:p>
          <w:p w14:paraId="173CF122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A) Inibidor de JAK na manutenção, com cuidado da barreira cutânea   ✔ certa</w:t>
            </w:r>
          </w:p>
          <w:p w14:paraId="17FB71A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B) Corticoide oral contínuo, em dias alternados</w:t>
            </w:r>
          </w:p>
          <w:p w14:paraId="244303E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Triancinolona de depósito uma vez por mês</w:t>
            </w:r>
          </w:p>
        </w:tc>
      </w:tr>
      <w:tr w:rsidR="003D0473" w14:paraId="76996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E34AD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BB96EA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</w:t>
            </w:r>
            <w:proofErr w:type="spellStart"/>
            <w:r>
              <w:rPr>
                <w:sz w:val="21"/>
                <w:szCs w:val="21"/>
              </w:rPr>
              <w:t>A</w:t>
            </w:r>
            <w:proofErr w:type="spellEnd"/>
            <w:r>
              <w:rPr>
                <w:sz w:val="21"/>
                <w:szCs w:val="21"/>
              </w:rPr>
              <w:t xml:space="preserve">. Inibidor de JAK na manutenção, junto com o cuidado da barreira cutânea. Além do </w:t>
            </w:r>
            <w:proofErr w:type="spellStart"/>
            <w:r>
              <w:rPr>
                <w:sz w:val="21"/>
                <w:szCs w:val="21"/>
              </w:rPr>
              <w:t>oclacitinib</w:t>
            </w:r>
            <w:proofErr w:type="spellEnd"/>
            <w:r>
              <w:rPr>
                <w:sz w:val="21"/>
                <w:szCs w:val="21"/>
              </w:rPr>
              <w:t xml:space="preserve">, o Volume 3 traz o </w:t>
            </w:r>
            <w:proofErr w:type="spellStart"/>
            <w:r>
              <w:rPr>
                <w:sz w:val="21"/>
                <w:szCs w:val="21"/>
              </w:rPr>
              <w:t>ilunocitinib</w:t>
            </w:r>
            <w:proofErr w:type="spellEnd"/>
            <w:r>
              <w:rPr>
                <w:sz w:val="21"/>
                <w:szCs w:val="21"/>
              </w:rPr>
              <w:t>. O corticoide contínuo, oral ou de depósito, controla o prurido, mas cobra caro: Cushing iatrogênico e outros efeitos sistêmicos. O erro comum é deixar o atópico anos no corticoide.</w:t>
            </w:r>
          </w:p>
        </w:tc>
      </w:tr>
      <w:tr w:rsidR="003D0473" w14:paraId="23E1A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836812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3C785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O esquema da crise e da manutenção da atopia, com </w:t>
            </w:r>
            <w:proofErr w:type="spellStart"/>
            <w:r>
              <w:rPr>
                <w:sz w:val="21"/>
                <w:szCs w:val="21"/>
              </w:rPr>
              <w:t>oclacitinib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ilunocitinib</w:t>
            </w:r>
            <w:proofErr w:type="spellEnd"/>
            <w:r>
              <w:rPr>
                <w:sz w:val="21"/>
                <w:szCs w:val="21"/>
              </w:rPr>
              <w:t>, imunobiológicos e a restauração da barreira cutânea.</w:t>
            </w:r>
          </w:p>
        </w:tc>
      </w:tr>
      <w:tr w:rsidR="003D0473" w14:paraId="3A085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E6D56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9674B7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Dermatopatias · "Atopia" · p. 33</w:t>
            </w:r>
          </w:p>
        </w:tc>
      </w:tr>
      <w:tr w:rsidR="003D0473" w14:paraId="3FE60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79994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F9A2C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33, no tópico "Tratamento de manutenção do prurido".</w:t>
            </w:r>
          </w:p>
        </w:tc>
      </w:tr>
      <w:tr w:rsidR="003D0473" w14:paraId="5813B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2AF91F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⚠ Conferir com atenção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4E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A41DAF" w14:textId="77777777" w:rsidR="003D0473" w:rsidRDefault="00000000">
            <w:pPr>
              <w:spacing w:after="100"/>
            </w:pPr>
            <w:r>
              <w:rPr>
                <w:color w:val="A64B00"/>
                <w:sz w:val="21"/>
                <w:szCs w:val="21"/>
              </w:rPr>
              <w:t>Este texto foi reescrito por nós (a versão original perguntava "qual é a novidade do Volume 3"). Conferir se a conduta está como no Guia.</w:t>
            </w:r>
          </w:p>
        </w:tc>
      </w:tr>
      <w:tr w:rsidR="003D0473" w14:paraId="23761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D9B85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82046C" w14:textId="48B6F151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3BF0982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1808C4E4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04DC9E2D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1EACC46B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#6 · Leishmaniose · Cão · novo no Volume 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68DE2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F80CD1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10A6D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quinta, 19/11: 12h o caso, 19h30 a resposta</w:t>
            </w:r>
          </w:p>
        </w:tc>
      </w:tr>
      <w:tr w:rsidR="003D0473" w14:paraId="58B02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6C826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D3069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Cão com leishmaniose visceral confirmada, estágio III pelo </w:t>
            </w:r>
            <w:proofErr w:type="spellStart"/>
            <w:r>
              <w:rPr>
                <w:sz w:val="21"/>
                <w:szCs w:val="21"/>
              </w:rPr>
              <w:t>BrasilLeish</w:t>
            </w:r>
            <w:proofErr w:type="spellEnd"/>
            <w:r>
              <w:rPr>
                <w:sz w:val="21"/>
                <w:szCs w:val="21"/>
              </w:rPr>
              <w:t xml:space="preserve"> 2025, sem comprometimento renal. O tutor ouviu que a única saída seria a eutanásia. Qual conduta as diretrizes do Guia recomendam?</w:t>
            </w:r>
          </w:p>
        </w:tc>
      </w:tr>
      <w:tr w:rsidR="003D0473" w14:paraId="5A2DB9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5C0BA1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370A7B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conduta correta?</w:t>
            </w:r>
          </w:p>
          <w:p w14:paraId="209A1F9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Eutanásia, por ser zoonose sem cura parasitológica</w:t>
            </w:r>
          </w:p>
          <w:p w14:paraId="53BA0CDD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Protocolo com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leishmanicida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,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leishmaniostático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e imunomodulador   ✔ certa</w:t>
            </w:r>
          </w:p>
          <w:p w14:paraId="238C588C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Só corticoide até os sinais clínicos sumirem</w:t>
            </w:r>
          </w:p>
        </w:tc>
      </w:tr>
      <w:tr w:rsidR="003D0473" w14:paraId="36CF7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38A18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9A5C3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B. Tratamento multimodal, com </w:t>
            </w:r>
            <w:proofErr w:type="spellStart"/>
            <w:r>
              <w:rPr>
                <w:sz w:val="21"/>
                <w:szCs w:val="21"/>
              </w:rPr>
              <w:t>leishmanicida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leishmaniostático</w:t>
            </w:r>
            <w:proofErr w:type="spellEnd"/>
            <w:r>
              <w:rPr>
                <w:sz w:val="21"/>
                <w:szCs w:val="21"/>
              </w:rPr>
              <w:t xml:space="preserve"> e imunomodulador. Com tratamento, coleira repelente e acompanhamento, a carga parasitária cai e o risco de transmissão diminui. A eutanásia não é a primeira opção: fica para o paciente sem resposta e em sofrimento irreversível.</w:t>
            </w:r>
          </w:p>
        </w:tc>
      </w:tr>
      <w:tr w:rsidR="003D0473" w14:paraId="0F05C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5EC21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49887C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tabela atualizada do </w:t>
            </w:r>
            <w:proofErr w:type="spellStart"/>
            <w:r>
              <w:rPr>
                <w:sz w:val="21"/>
                <w:szCs w:val="21"/>
              </w:rPr>
              <w:t>BrasilLeish</w:t>
            </w:r>
            <w:proofErr w:type="spellEnd"/>
            <w:r>
              <w:rPr>
                <w:sz w:val="21"/>
                <w:szCs w:val="21"/>
              </w:rPr>
              <w:t xml:space="preserve"> 2025, o estadiamento do estágio I ao VI e os protocolos com miltefosina, </w:t>
            </w:r>
            <w:proofErr w:type="spellStart"/>
            <w:r>
              <w:rPr>
                <w:sz w:val="21"/>
                <w:szCs w:val="21"/>
              </w:rPr>
              <w:t>alopurinol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domperidona</w:t>
            </w:r>
            <w:proofErr w:type="spellEnd"/>
            <w:r>
              <w:rPr>
                <w:sz w:val="21"/>
                <w:szCs w:val="21"/>
              </w:rPr>
              <w:t xml:space="preserve"> e imunoterapia.</w:t>
            </w:r>
          </w:p>
        </w:tc>
      </w:tr>
      <w:tr w:rsidR="003D0473" w14:paraId="00E1A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CFA29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9E885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Doenças Infectocontagiosas · "Leishmaniose" · p. 72 e 73</w:t>
            </w:r>
          </w:p>
        </w:tc>
      </w:tr>
      <w:tr w:rsidR="003D0473" w14:paraId="026B2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12B9A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689D67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Páginas 72 e 73, com a tabela de estadiamento e condutas do </w:t>
            </w:r>
            <w:proofErr w:type="spellStart"/>
            <w:r>
              <w:rPr>
                <w:sz w:val="21"/>
                <w:szCs w:val="21"/>
              </w:rPr>
              <w:t>BrasilLeish</w:t>
            </w:r>
            <w:proofErr w:type="spellEnd"/>
            <w:r>
              <w:rPr>
                <w:sz w:val="21"/>
                <w:szCs w:val="21"/>
              </w:rPr>
              <w:t xml:space="preserve"> 2025.</w:t>
            </w:r>
          </w:p>
        </w:tc>
      </w:tr>
      <w:tr w:rsidR="003D0473" w14:paraId="6053D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07074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AFCC43" w14:textId="2D5499A0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7F3C20D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40C4FE12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0CA90EAB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4CA47D3A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Caso #7 · Antibiótico na pancreatite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5D17E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65025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18CA5C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sábado, 21/11: 12h o caso, 19h30 a resposta</w:t>
            </w:r>
          </w:p>
        </w:tc>
      </w:tr>
      <w:tr w:rsidR="003D0473" w14:paraId="7D675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477E48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C48D2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Poodle, 8 anos, chega no plantão com dor abdominal intensa (posição de prece), vômitos e lipase pancreática específica alterada. Com o diagnóstico de pancreatite aguda, qual é a sua conduta quanto ao antibiótico?</w:t>
            </w:r>
          </w:p>
        </w:tc>
      </w:tr>
      <w:tr w:rsidR="003D0473" w14:paraId="2F885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8E07C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CE74D5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E o antibiótico?</w:t>
            </w:r>
          </w:p>
          <w:p w14:paraId="3964C0C2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A) Não prescrever de rotina: a pancreatite é um processo estéril   ✔ certa</w:t>
            </w:r>
          </w:p>
          <w:p w14:paraId="6943A0D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B) </w:t>
            </w:r>
            <w:proofErr w:type="spellStart"/>
            <w:r>
              <w:rPr>
                <w:sz w:val="21"/>
                <w:szCs w:val="21"/>
              </w:rPr>
              <w:t>Enrofloxacino</w:t>
            </w:r>
            <w:proofErr w:type="spellEnd"/>
            <w:r>
              <w:rPr>
                <w:sz w:val="21"/>
                <w:szCs w:val="21"/>
              </w:rPr>
              <w:t xml:space="preserve"> com metronidazol, já na entrada</w:t>
            </w:r>
          </w:p>
          <w:p w14:paraId="627EA4E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Cefalosporina de terceira geração por via intravenosa</w:t>
            </w:r>
          </w:p>
        </w:tc>
      </w:tr>
      <w:tr w:rsidR="003D0473" w14:paraId="6E7DF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45F229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67DC5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</w:t>
            </w:r>
            <w:proofErr w:type="spellStart"/>
            <w:r>
              <w:rPr>
                <w:sz w:val="21"/>
                <w:szCs w:val="21"/>
              </w:rPr>
              <w:t>A</w:t>
            </w:r>
            <w:proofErr w:type="spellEnd"/>
            <w:r>
              <w:rPr>
                <w:sz w:val="21"/>
                <w:szCs w:val="21"/>
              </w:rPr>
              <w:t xml:space="preserve">. Não prescrever de rotina. A pancreatite é uma inflamação estéril, de autodigestão enzimática. O antibiótico fica para quando há infecção bacteriana secundária confirmada ou forte suspeita, ou sepse. O foco é analgesia e </w:t>
            </w:r>
            <w:proofErr w:type="spellStart"/>
            <w:r>
              <w:rPr>
                <w:sz w:val="21"/>
                <w:szCs w:val="21"/>
              </w:rPr>
              <w:t>fluidoterapia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D0473" w14:paraId="62A22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1ED485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CBF5D1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suporte intensivo na pancreatite, a analgesia multimodal, o controle do vômito, os protetores gástricos e os critérios para antibiótico.</w:t>
            </w:r>
          </w:p>
        </w:tc>
      </w:tr>
      <w:tr w:rsidR="003D0473" w14:paraId="1A7A2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5A3B5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A4130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Distúrbios Gastrointestinais · "Pancreatite" · p. 100</w:t>
            </w:r>
          </w:p>
        </w:tc>
      </w:tr>
      <w:tr w:rsidR="003D0473" w14:paraId="012449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DF88E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94BD05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100, no tópico "Antibioticoterapia".</w:t>
            </w:r>
          </w:p>
        </w:tc>
      </w:tr>
      <w:tr w:rsidR="003D0473" w14:paraId="4E503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1AED52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5128" w14:textId="219669DE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22A96631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57C2269D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75D27128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254BF615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 xml:space="preserve">Caso #8 · Sarna </w:t>
      </w:r>
      <w:proofErr w:type="spellStart"/>
      <w:r>
        <w:rPr>
          <w:b/>
          <w:bCs/>
          <w:color w:val="C01275"/>
          <w:sz w:val="25"/>
          <w:szCs w:val="25"/>
        </w:rPr>
        <w:t>otodécica</w:t>
      </w:r>
      <w:proofErr w:type="spellEnd"/>
      <w:r>
        <w:rPr>
          <w:b/>
          <w:bCs/>
          <w:color w:val="C01275"/>
          <w:sz w:val="25"/>
          <w:szCs w:val="25"/>
        </w:rPr>
        <w:t xml:space="preserve"> · Gato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192E9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2C427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FFC4D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segunda, 23/11: 12h o caso, 19h30 a resposta</w:t>
            </w:r>
          </w:p>
        </w:tc>
      </w:tr>
      <w:tr w:rsidR="003D0473" w14:paraId="276D2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ADC5B1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85DC9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Filhote de gato, 3 meses, com prurido auricular intenso e cerúmen escuro, com aspecto de borra de café. A citologia confirma </w:t>
            </w:r>
            <w:proofErr w:type="spellStart"/>
            <w:r>
              <w:rPr>
                <w:sz w:val="21"/>
                <w:szCs w:val="21"/>
              </w:rPr>
              <w:t>Otodectes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cynotis</w:t>
            </w:r>
            <w:proofErr w:type="spellEnd"/>
            <w:r>
              <w:rPr>
                <w:sz w:val="21"/>
                <w:szCs w:val="21"/>
              </w:rPr>
              <w:t>. Qual é o tratamento de escolha para eliminar o ácaro?</w:t>
            </w:r>
          </w:p>
        </w:tc>
      </w:tr>
      <w:tr w:rsidR="003D0473" w14:paraId="6E8FF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85201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2D39C0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o tratamento de escolha?</w:t>
            </w:r>
          </w:p>
          <w:p w14:paraId="610D25F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Gotas otológicas com gentamicina por dez dias</w:t>
            </w:r>
          </w:p>
          <w:p w14:paraId="507706F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B) Limpeza diária do conduto só com solução fisiológica</w:t>
            </w:r>
          </w:p>
          <w:p w14:paraId="01532A72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Antiparasitário de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selamectina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ou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moxidectina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 w:rsidR="003D0473" w14:paraId="36A0A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D3D777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FDA49A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C. Antiparasitário com </w:t>
            </w:r>
            <w:proofErr w:type="spellStart"/>
            <w:r>
              <w:rPr>
                <w:sz w:val="21"/>
                <w:szCs w:val="21"/>
              </w:rPr>
              <w:t>selamectina</w:t>
            </w:r>
            <w:proofErr w:type="spellEnd"/>
            <w:r>
              <w:rPr>
                <w:sz w:val="21"/>
                <w:szCs w:val="21"/>
              </w:rPr>
              <w:t xml:space="preserve"> ou </w:t>
            </w:r>
            <w:proofErr w:type="spellStart"/>
            <w:r>
              <w:rPr>
                <w:sz w:val="21"/>
                <w:szCs w:val="21"/>
              </w:rPr>
              <w:t>moxidectina</w:t>
            </w:r>
            <w:proofErr w:type="spellEnd"/>
            <w:r>
              <w:rPr>
                <w:sz w:val="21"/>
                <w:szCs w:val="21"/>
              </w:rPr>
              <w:t xml:space="preserve">. A sarna </w:t>
            </w:r>
            <w:proofErr w:type="spellStart"/>
            <w:r>
              <w:rPr>
                <w:sz w:val="21"/>
                <w:szCs w:val="21"/>
              </w:rPr>
              <w:t>otodécica</w:t>
            </w:r>
            <w:proofErr w:type="spellEnd"/>
            <w:r>
              <w:rPr>
                <w:sz w:val="21"/>
                <w:szCs w:val="21"/>
              </w:rPr>
              <w:t xml:space="preserve"> é causada por um ácaro, e a gota otológica com antibiótico não elimina o parasita: é um erro comum, que ainda favorece a otite secundária.</w:t>
            </w:r>
          </w:p>
        </w:tc>
      </w:tr>
      <w:tr w:rsidR="003D0473" w14:paraId="6E7BB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2EADD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CF585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O diagnóstico citológico do </w:t>
            </w:r>
            <w:proofErr w:type="spellStart"/>
            <w:r>
              <w:rPr>
                <w:sz w:val="21"/>
                <w:szCs w:val="21"/>
              </w:rPr>
              <w:t>Otodectes</w:t>
            </w:r>
            <w:proofErr w:type="spellEnd"/>
            <w:r>
              <w:rPr>
                <w:sz w:val="21"/>
                <w:szCs w:val="21"/>
              </w:rPr>
              <w:t>, o protocolo de limpeza auricular e o manejo antiparasitário em felinos.</w:t>
            </w:r>
          </w:p>
        </w:tc>
      </w:tr>
      <w:tr w:rsidR="003D0473" w14:paraId="124C1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CF32D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DEC58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Dermatopatias · "Sarna </w:t>
            </w:r>
            <w:proofErr w:type="spellStart"/>
            <w:r>
              <w:rPr>
                <w:sz w:val="21"/>
                <w:szCs w:val="21"/>
              </w:rPr>
              <w:t>Otodécica</w:t>
            </w:r>
            <w:proofErr w:type="spellEnd"/>
            <w:r>
              <w:rPr>
                <w:sz w:val="21"/>
                <w:szCs w:val="21"/>
              </w:rPr>
              <w:t>" · p. 50</w:t>
            </w:r>
          </w:p>
        </w:tc>
      </w:tr>
      <w:tr w:rsidR="003D0473" w14:paraId="59AA3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20B725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1EAB9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Página 50, no quadro-síntese do tratamento da sarna </w:t>
            </w:r>
            <w:proofErr w:type="spellStart"/>
            <w:r>
              <w:rPr>
                <w:sz w:val="21"/>
                <w:szCs w:val="21"/>
              </w:rPr>
              <w:t>otodécica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D0473" w14:paraId="48C70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03044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C79E75" w14:textId="016CF558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1D16F527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14C79C62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1735A877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008CAD68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 xml:space="preserve">Caso #9 · Início da </w:t>
      </w:r>
      <w:proofErr w:type="spellStart"/>
      <w:r>
        <w:rPr>
          <w:b/>
          <w:bCs/>
          <w:color w:val="C01275"/>
          <w:sz w:val="25"/>
          <w:szCs w:val="25"/>
        </w:rPr>
        <w:t>levotiroxina</w:t>
      </w:r>
      <w:proofErr w:type="spellEnd"/>
      <w:r>
        <w:rPr>
          <w:b/>
          <w:bCs/>
          <w:color w:val="C01275"/>
          <w:sz w:val="25"/>
          <w:szCs w:val="25"/>
        </w:rPr>
        <w:t xml:space="preserve">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5A548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E52FE5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6B381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terça, 24/11: 12h o caso, 19h30 a resposta</w:t>
            </w:r>
          </w:p>
        </w:tc>
      </w:tr>
      <w:tr w:rsidR="003D0473" w14:paraId="37755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CAB7F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FF6FEA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Golden </w:t>
            </w:r>
            <w:proofErr w:type="spellStart"/>
            <w:r>
              <w:rPr>
                <w:sz w:val="21"/>
                <w:szCs w:val="21"/>
              </w:rPr>
              <w:t>Retriever</w:t>
            </w:r>
            <w:proofErr w:type="spellEnd"/>
            <w:r>
              <w:rPr>
                <w:sz w:val="21"/>
                <w:szCs w:val="21"/>
              </w:rPr>
              <w:t xml:space="preserve">, 6 anos, com hipotireoidismo primário confirmado: ganho de peso, alopecia em cauda de rato e T4 livre baixo. Como você introduz a </w:t>
            </w:r>
            <w:proofErr w:type="spellStart"/>
            <w:r>
              <w:rPr>
                <w:sz w:val="21"/>
                <w:szCs w:val="21"/>
              </w:rPr>
              <w:t>levotiroxina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</w:tr>
      <w:tr w:rsidR="003D0473" w14:paraId="0F588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674AB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B14A5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Como introduzir a medicação?</w:t>
            </w:r>
          </w:p>
          <w:p w14:paraId="6B43CB91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Dose total desde o primeiro dia</w:t>
            </w:r>
          </w:p>
          <w:p w14:paraId="22E55A69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B) Aumentar aos poucos, semana a semana, até a dose total   ✔ certa</w:t>
            </w:r>
          </w:p>
          <w:p w14:paraId="53CA34C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Dose total só nos fins de semana, para adaptar</w:t>
            </w:r>
          </w:p>
        </w:tc>
      </w:tr>
      <w:tr w:rsidR="003D0473" w14:paraId="68181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6639B9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C14F9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 resposta é a B. Aos poucos, ao longo de quatro semanas: começa com uma fração da dose e aumenta a cada semana até a dose total. Esse cuidado evita taquicardia, agitação e complicações cardiovasculares por uma mudança hormonal brusca.</w:t>
            </w:r>
          </w:p>
        </w:tc>
      </w:tr>
      <w:tr w:rsidR="003D0473" w14:paraId="7011E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82C14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3CA85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esquema de introdução em 4 semanas, as doses para os quadros clínicos e subclínicos e os ajustes em pacientes com comorbidades.</w:t>
            </w:r>
          </w:p>
        </w:tc>
      </w:tr>
      <w:tr w:rsidR="003D0473" w14:paraId="6E825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B7BD88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EF0AE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Doenças Endócrinas · "Hipotireoidismo" · p. 59</w:t>
            </w:r>
          </w:p>
        </w:tc>
      </w:tr>
      <w:tr w:rsidR="003D0473" w14:paraId="6359B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D994DF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30DB4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59, no tópico "Protocolo de introdução do tratamento".</w:t>
            </w:r>
          </w:p>
        </w:tc>
      </w:tr>
      <w:tr w:rsidR="003D0473" w14:paraId="567BC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47F4A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81FC50" w14:textId="4C0CD2FC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67B9921B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55270F1E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66B3FE49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222F2F02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 xml:space="preserve">Caso #10 · </w:t>
      </w:r>
      <w:proofErr w:type="spellStart"/>
      <w:r>
        <w:rPr>
          <w:b/>
          <w:bCs/>
          <w:color w:val="C01275"/>
          <w:sz w:val="25"/>
          <w:szCs w:val="25"/>
        </w:rPr>
        <w:t>Imidocarb</w:t>
      </w:r>
      <w:proofErr w:type="spellEnd"/>
      <w:r>
        <w:rPr>
          <w:b/>
          <w:bCs/>
          <w:color w:val="C01275"/>
          <w:sz w:val="25"/>
          <w:szCs w:val="25"/>
        </w:rPr>
        <w:t xml:space="preserve"> na </w:t>
      </w:r>
      <w:proofErr w:type="spellStart"/>
      <w:r>
        <w:rPr>
          <w:b/>
          <w:bCs/>
          <w:color w:val="C01275"/>
          <w:sz w:val="25"/>
          <w:szCs w:val="25"/>
        </w:rPr>
        <w:t>babesiose</w:t>
      </w:r>
      <w:proofErr w:type="spellEnd"/>
      <w:r>
        <w:rPr>
          <w:b/>
          <w:bCs/>
          <w:color w:val="C01275"/>
          <w:sz w:val="25"/>
          <w:szCs w:val="25"/>
        </w:rPr>
        <w:t xml:space="preserve">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56A09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2B163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Quando sai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FF7E6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quinta, 26/11: 12h o caso, 19h30 a resposta</w:t>
            </w:r>
          </w:p>
        </w:tc>
      </w:tr>
      <w:tr w:rsidR="003D0473" w14:paraId="33A96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CDC3B9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DA8EE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Cão com </w:t>
            </w:r>
            <w:proofErr w:type="spellStart"/>
            <w:r>
              <w:rPr>
                <w:sz w:val="21"/>
                <w:szCs w:val="21"/>
              </w:rPr>
              <w:t>babesiose</w:t>
            </w:r>
            <w:proofErr w:type="spellEnd"/>
            <w:r>
              <w:rPr>
                <w:sz w:val="21"/>
                <w:szCs w:val="21"/>
              </w:rPr>
              <w:t xml:space="preserve"> confirmada por PCR recebe o </w:t>
            </w:r>
            <w:proofErr w:type="spellStart"/>
            <w:r>
              <w:rPr>
                <w:sz w:val="21"/>
                <w:szCs w:val="21"/>
              </w:rPr>
              <w:t>dipropionato</w:t>
            </w:r>
            <w:proofErr w:type="spellEnd"/>
            <w:r>
              <w:rPr>
                <w:sz w:val="21"/>
                <w:szCs w:val="21"/>
              </w:rPr>
              <w:t xml:space="preserve"> de </w:t>
            </w:r>
            <w:proofErr w:type="spellStart"/>
            <w:r>
              <w:rPr>
                <w:sz w:val="21"/>
                <w:szCs w:val="21"/>
              </w:rPr>
              <w:t>imidocarb</w:t>
            </w:r>
            <w:proofErr w:type="spellEnd"/>
            <w:r>
              <w:rPr>
                <w:sz w:val="21"/>
                <w:szCs w:val="21"/>
              </w:rPr>
              <w:t xml:space="preserve"> por via subcutânea. Qual é a conduta indispensável logo depois da aplicação, na clínica?</w:t>
            </w:r>
          </w:p>
        </w:tc>
      </w:tr>
      <w:tr w:rsidR="003D0473" w14:paraId="1EB4E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E42E82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D8D198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conduta imediata?</w:t>
            </w:r>
          </w:p>
          <w:p w14:paraId="0FEDA00B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A) Observação clínica por pelo menos três horas   ✔ certa</w:t>
            </w:r>
          </w:p>
          <w:p w14:paraId="2A218816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B) Liberar para repousar em casa</w:t>
            </w:r>
          </w:p>
          <w:p w14:paraId="636E6F6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Corticoide em dose alta antes de liberar</w:t>
            </w:r>
          </w:p>
        </w:tc>
      </w:tr>
      <w:tr w:rsidR="003D0473" w14:paraId="62B13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973A81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AC367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</w:t>
            </w:r>
            <w:proofErr w:type="spellStart"/>
            <w:r>
              <w:rPr>
                <w:sz w:val="21"/>
                <w:szCs w:val="21"/>
              </w:rPr>
              <w:t>A</w:t>
            </w:r>
            <w:proofErr w:type="spellEnd"/>
            <w:r>
              <w:rPr>
                <w:sz w:val="21"/>
                <w:szCs w:val="21"/>
              </w:rPr>
              <w:t xml:space="preserve">. Observação clínica por pelo menos três horas. O </w:t>
            </w:r>
            <w:proofErr w:type="spellStart"/>
            <w:r>
              <w:rPr>
                <w:sz w:val="21"/>
                <w:szCs w:val="21"/>
              </w:rPr>
              <w:t>imidocarb</w:t>
            </w:r>
            <w:proofErr w:type="spellEnd"/>
            <w:r>
              <w:rPr>
                <w:sz w:val="21"/>
                <w:szCs w:val="21"/>
              </w:rPr>
              <w:t xml:space="preserve"> pode causar reação colinérgica: sialorreia, tremores, vômito, bradicardia e até desconforto respiratório. Se acontecer, o suporte tem que ser imediato, e por isso o paciente não vai embora logo depois da aplicação.</w:t>
            </w:r>
          </w:p>
        </w:tc>
      </w:tr>
      <w:tr w:rsidR="003D0473" w14:paraId="1C6A4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75932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9C3356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cálculo da dose por peso, o intervalo entre as aplicações, as reações adversas e o manejo das complicações.</w:t>
            </w:r>
          </w:p>
        </w:tc>
      </w:tr>
      <w:tr w:rsidR="003D0473" w14:paraId="40325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F63D9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A68467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Doenças Transmitidas pelo Carrapato · "</w:t>
            </w:r>
            <w:proofErr w:type="spellStart"/>
            <w:r>
              <w:rPr>
                <w:sz w:val="21"/>
                <w:szCs w:val="21"/>
              </w:rPr>
              <w:t>Babesia</w:t>
            </w:r>
            <w:proofErr w:type="spellEnd"/>
            <w:r>
              <w:rPr>
                <w:sz w:val="21"/>
                <w:szCs w:val="21"/>
              </w:rPr>
              <w:t>" · p. 85</w:t>
            </w:r>
          </w:p>
        </w:tc>
      </w:tr>
      <w:tr w:rsidR="003D0473" w14:paraId="66E69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6CFBBA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020E2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Página 85, no tópico "Reações adversas ao </w:t>
            </w:r>
            <w:proofErr w:type="spellStart"/>
            <w:r>
              <w:rPr>
                <w:sz w:val="21"/>
                <w:szCs w:val="21"/>
              </w:rPr>
              <w:t>Imizol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imidocarb</w:t>
            </w:r>
            <w:proofErr w:type="spellEnd"/>
            <w:r>
              <w:rPr>
                <w:sz w:val="21"/>
                <w:szCs w:val="21"/>
              </w:rPr>
              <w:t>)".</w:t>
            </w:r>
          </w:p>
        </w:tc>
      </w:tr>
      <w:tr w:rsidR="003D0473" w14:paraId="2D423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E10536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91B3D8" w14:textId="2306F939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 xml:space="preserve">( </w:t>
            </w:r>
            <w:r w:rsidR="00B12B86">
              <w:rPr>
                <w:sz w:val="21"/>
                <w:szCs w:val="21"/>
              </w:rPr>
              <w:t>x</w:t>
            </w:r>
            <w:proofErr w:type="gramEnd"/>
            <w:r>
              <w:rPr>
                <w:sz w:val="21"/>
                <w:szCs w:val="21"/>
              </w:rPr>
              <w:t xml:space="preserve"> )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</w:p>
          <w:p w14:paraId="7DAD4D6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7C7EF321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60766019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38518A88" w14:textId="77777777" w:rsidR="003D0473" w:rsidRDefault="00000000">
      <w:r>
        <w:br w:type="page"/>
      </w:r>
    </w:p>
    <w:p w14:paraId="2B3C4904" w14:textId="77777777" w:rsidR="003D0473" w:rsidRDefault="00000000">
      <w:pPr>
        <w:pStyle w:val="Ttulo1"/>
        <w:spacing w:before="240" w:after="160"/>
      </w:pPr>
      <w:r>
        <w:rPr>
          <w:b/>
          <w:bCs/>
          <w:color w:val="3D0631"/>
        </w:rPr>
        <w:lastRenderedPageBreak/>
        <w:t>Reservas</w:t>
      </w:r>
    </w:p>
    <w:p w14:paraId="42C9EE7A" w14:textId="77777777" w:rsidR="003D0473" w:rsidRDefault="00000000">
      <w:pPr>
        <w:spacing w:after="100"/>
      </w:pPr>
      <w:r>
        <w:rPr>
          <w:sz w:val="21"/>
          <w:szCs w:val="21"/>
        </w:rPr>
        <w:t>Se você vetar algum caso, um destes entra no lugar, no mesmo dia e horário.</w:t>
      </w:r>
    </w:p>
    <w:p w14:paraId="57CE97DC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Reserva R1 · Tempo de tratamento da erliquiose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3CAFF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A4AF16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DDA28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Cão com erliquiose </w:t>
            </w:r>
            <w:proofErr w:type="spellStart"/>
            <w:r>
              <w:rPr>
                <w:sz w:val="21"/>
                <w:szCs w:val="21"/>
              </w:rPr>
              <w:t>monocítica</w:t>
            </w:r>
            <w:proofErr w:type="spellEnd"/>
            <w:r>
              <w:rPr>
                <w:sz w:val="21"/>
                <w:szCs w:val="21"/>
              </w:rPr>
              <w:t xml:space="preserve"> confirmada. No 14º dia de </w:t>
            </w:r>
            <w:proofErr w:type="spellStart"/>
            <w:r>
              <w:rPr>
                <w:sz w:val="21"/>
                <w:szCs w:val="21"/>
              </w:rPr>
              <w:t>doxiciclina</w:t>
            </w:r>
            <w:proofErr w:type="spellEnd"/>
            <w:r>
              <w:rPr>
                <w:sz w:val="21"/>
                <w:szCs w:val="21"/>
              </w:rPr>
              <w:t>, os sinais sumiram e o tutor quer suspender o tratamento. O que você orienta?</w:t>
            </w:r>
          </w:p>
        </w:tc>
      </w:tr>
      <w:tr w:rsidR="003D0473" w14:paraId="726AC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53A9B2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A1E357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conduta correta?</w:t>
            </w:r>
          </w:p>
          <w:p w14:paraId="679B33A1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A) Suspender: a melhora clínica confirma a cura</w:t>
            </w:r>
          </w:p>
          <w:p w14:paraId="48189C14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Manter a </w:t>
            </w:r>
            <w:proofErr w:type="spellStart"/>
            <w:r>
              <w:rPr>
                <w:b/>
                <w:bCs/>
                <w:color w:val="1B7A2E"/>
                <w:sz w:val="21"/>
                <w:szCs w:val="21"/>
              </w:rPr>
              <w:t>doxiciclina</w:t>
            </w:r>
            <w:proofErr w:type="spellEnd"/>
            <w:r>
              <w:rPr>
                <w:b/>
                <w:bCs/>
                <w:color w:val="1B7A2E"/>
                <w:sz w:val="21"/>
                <w:szCs w:val="21"/>
              </w:rPr>
              <w:t xml:space="preserve"> até completar 28 dias   ✔ certa</w:t>
            </w:r>
          </w:p>
          <w:p w14:paraId="73287704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C) Trocar por </w:t>
            </w:r>
            <w:proofErr w:type="spellStart"/>
            <w:r>
              <w:rPr>
                <w:sz w:val="21"/>
                <w:szCs w:val="21"/>
              </w:rPr>
              <w:t>enrofloxacino</w:t>
            </w:r>
            <w:proofErr w:type="spellEnd"/>
            <w:r>
              <w:rPr>
                <w:sz w:val="21"/>
                <w:szCs w:val="21"/>
              </w:rPr>
              <w:t xml:space="preserve"> por mais sete dias</w:t>
            </w:r>
          </w:p>
        </w:tc>
      </w:tr>
      <w:tr w:rsidR="003D0473" w14:paraId="29486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93AC8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30C6D3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 resposta é a B. Manter a </w:t>
            </w:r>
            <w:proofErr w:type="spellStart"/>
            <w:r>
              <w:rPr>
                <w:sz w:val="21"/>
                <w:szCs w:val="21"/>
              </w:rPr>
              <w:t>doxiciclina</w:t>
            </w:r>
            <w:proofErr w:type="spellEnd"/>
            <w:r>
              <w:rPr>
                <w:sz w:val="21"/>
                <w:szCs w:val="21"/>
              </w:rPr>
              <w:t xml:space="preserve"> até completar 28 dias. Parar quando o paciente melhora favorece a recidiva e a evolução para a fase crônica. E, como todo antibiótico, ela vai depois da alimentação.</w:t>
            </w:r>
          </w:p>
        </w:tc>
      </w:tr>
      <w:tr w:rsidR="003D0473" w14:paraId="25C0C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BEEAE3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45D9C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protocolo da erliquiose, o suporte hematológico, os hepatoprotetores e o acompanhamento laboratorial.</w:t>
            </w:r>
          </w:p>
        </w:tc>
      </w:tr>
      <w:tr w:rsidR="003D0473" w14:paraId="15B69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8F43A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224B7C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Doenças Transmitidas pelo Carrapato · "Tratamento da Erliquiose" · p. 87</w:t>
            </w:r>
          </w:p>
        </w:tc>
      </w:tr>
      <w:tr w:rsidR="003D0473" w14:paraId="70DC31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0C083B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A46C50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87, no tópico de duração do tratamento da erliquiose.</w:t>
            </w:r>
          </w:p>
        </w:tc>
      </w:tr>
      <w:tr w:rsidR="003D0473" w14:paraId="3676D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6B6470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F8F063" w14:textId="642C0DEF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  <w:r w:rsidR="00B12B86">
              <w:rPr>
                <w:sz w:val="21"/>
                <w:szCs w:val="21"/>
              </w:rPr>
              <w:t xml:space="preserve"> </w:t>
            </w:r>
            <w:r w:rsidR="00B12B86" w:rsidRPr="00B12B86">
              <w:rPr>
                <w:color w:val="EE0000"/>
                <w:sz w:val="21"/>
                <w:szCs w:val="21"/>
              </w:rPr>
              <w:t xml:space="preserve">tiraria a palavra </w:t>
            </w:r>
            <w:proofErr w:type="spellStart"/>
            <w:r w:rsidR="00B12B86" w:rsidRPr="00B12B86">
              <w:rPr>
                <w:color w:val="EE0000"/>
                <w:sz w:val="21"/>
                <w:szCs w:val="21"/>
              </w:rPr>
              <w:t>monocítica</w:t>
            </w:r>
            <w:proofErr w:type="spellEnd"/>
          </w:p>
          <w:p w14:paraId="2D2AB55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5A7ADCD6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07A0E7A9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p w14:paraId="42E3E5A8" w14:textId="77777777" w:rsidR="003D0473" w:rsidRDefault="00000000">
      <w:pPr>
        <w:pStyle w:val="Ttulo2"/>
        <w:spacing w:before="200" w:after="120"/>
      </w:pPr>
      <w:r>
        <w:rPr>
          <w:b/>
          <w:bCs/>
          <w:color w:val="C01275"/>
          <w:sz w:val="25"/>
          <w:szCs w:val="25"/>
        </w:rPr>
        <w:t>Reserva R2 · Gastroenterite aguda · Cão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D0473" w14:paraId="6ECD1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EE3EC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Caso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EAABC9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Cão sem raça definida, 3 anos, com diarreia pastosa e dois vômitos nas últimas 24 h. Está </w:t>
            </w:r>
            <w:proofErr w:type="spellStart"/>
            <w:r>
              <w:rPr>
                <w:sz w:val="21"/>
                <w:szCs w:val="21"/>
              </w:rPr>
              <w:t>normotérmico</w:t>
            </w:r>
            <w:proofErr w:type="spellEnd"/>
            <w:r>
              <w:rPr>
                <w:sz w:val="21"/>
                <w:szCs w:val="21"/>
              </w:rPr>
              <w:t>, alerta e hidratado, e não há sangue nas fezes. Qual é a sua conduta inicial?</w:t>
            </w:r>
          </w:p>
        </w:tc>
      </w:tr>
      <w:tr w:rsidR="003D0473" w14:paraId="4CE9A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B45D9C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Enquete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780AB5" w14:textId="77777777" w:rsidR="003D0473" w:rsidRDefault="00000000"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>Qual é a sua conduta?</w:t>
            </w:r>
          </w:p>
          <w:p w14:paraId="673F7DD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A) </w:t>
            </w:r>
            <w:proofErr w:type="spellStart"/>
            <w:r>
              <w:rPr>
                <w:sz w:val="21"/>
                <w:szCs w:val="21"/>
              </w:rPr>
              <w:t>Enrofloxacino</w:t>
            </w:r>
            <w:proofErr w:type="spellEnd"/>
            <w:r>
              <w:rPr>
                <w:sz w:val="21"/>
                <w:szCs w:val="21"/>
              </w:rPr>
              <w:t xml:space="preserve"> com antisséptico intestinal e antidiarreico</w:t>
            </w:r>
          </w:p>
          <w:p w14:paraId="09CBBB3D" w14:textId="77777777" w:rsidR="003D0473" w:rsidRDefault="00000000"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>B) Suporte sintomático, hidratação e probiótico   ✔ certa</w:t>
            </w:r>
          </w:p>
          <w:p w14:paraId="67DAB89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C) Corticoide com metronidazol</w:t>
            </w:r>
          </w:p>
        </w:tc>
      </w:tr>
      <w:tr w:rsidR="003D0473" w14:paraId="063EB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6E804D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Resposta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3CDEDE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A resposta é a B. Suporte sintomático, hidratação e probiótico. A maioria das gastroenterites agudas é alimentar ou viral leve. O antibiótico sem indicação elimina a flora benéfica, atrasa a recuperação e causa disbiose. Ele fica para suspeita de infecção bacteriana grave, risco de translocação ou diarreia hemorrágica.</w:t>
            </w:r>
          </w:p>
        </w:tc>
      </w:tr>
      <w:tr w:rsidR="003D0473" w14:paraId="7A3B7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CAE67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Fica para o Guia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1B8148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O protocolo das gastroenterites, os critérios para antibiótico, os antieméticos, a analgesia e os protetores gástricos.</w:t>
            </w:r>
          </w:p>
        </w:tc>
      </w:tr>
      <w:tr w:rsidR="003D0473" w14:paraId="73317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0A5CB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Página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94BD5D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Volume 3 · Capítulo Distúrbios Gastrointestinais · "Gastroenterites: tratamento inicial" · p. 93</w:t>
            </w:r>
          </w:p>
        </w:tc>
      </w:tr>
      <w:tr w:rsidR="003D0473" w14:paraId="36211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EA4B94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lastRenderedPageBreak/>
              <w:t>Foto sugerida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6259EF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>Página 94, no tópico "Por que evitar o uso de antibióticos?".</w:t>
            </w:r>
          </w:p>
        </w:tc>
      </w:tr>
      <w:tr w:rsidR="003D0473" w14:paraId="523A8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7E6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BA235E" w14:textId="77777777" w:rsidR="003D0473" w:rsidRDefault="00000000"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>Validação</w:t>
            </w:r>
          </w:p>
        </w:tc>
        <w:tc>
          <w:tcPr>
            <w:tcW w:w="7438" w:type="dxa"/>
            <w:tcBorders>
              <w:top w:val="single" w:sz="4" w:space="0" w:color="D9B3CC"/>
              <w:left w:val="single" w:sz="4" w:space="0" w:color="D9B3CC"/>
              <w:bottom w:val="single" w:sz="4" w:space="0" w:color="D9B3CC"/>
              <w:right w:val="single" w:sz="4" w:space="0" w:color="D9B3CC"/>
            </w:tcBorders>
            <w:shd w:val="clear" w:color="auto" w:fill="FFFBE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EB88F1" w14:textId="7F8A1F9A" w:rsidR="003D0473" w:rsidRPr="00B12B86" w:rsidRDefault="00000000">
            <w:pPr>
              <w:spacing w:after="100"/>
              <w:rPr>
                <w:color w:val="EE0000"/>
              </w:rPr>
            </w:pPr>
            <w:r>
              <w:rPr>
                <w:sz w:val="21"/>
                <w:szCs w:val="21"/>
              </w:rPr>
              <w:t>(</w:t>
            </w:r>
            <w:proofErr w:type="gramStart"/>
            <w:r w:rsidR="00B12B86"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 xml:space="preserve">  )</w:t>
            </w:r>
            <w:proofErr w:type="gramEnd"/>
            <w:r>
              <w:rPr>
                <w:sz w:val="21"/>
                <w:szCs w:val="21"/>
              </w:rPr>
              <w:t xml:space="preserve"> OK   </w:t>
            </w:r>
            <w:proofErr w:type="gramStart"/>
            <w:r>
              <w:rPr>
                <w:sz w:val="21"/>
                <w:szCs w:val="21"/>
              </w:rPr>
              <w:t xml:space="preserve">   (  )</w:t>
            </w:r>
            <w:proofErr w:type="gramEnd"/>
            <w:r>
              <w:rPr>
                <w:sz w:val="21"/>
                <w:szCs w:val="21"/>
              </w:rPr>
              <w:t xml:space="preserve"> Ajustar:</w:t>
            </w:r>
            <w:r w:rsidR="00B12B86">
              <w:rPr>
                <w:sz w:val="21"/>
                <w:szCs w:val="21"/>
              </w:rPr>
              <w:t xml:space="preserve"> </w:t>
            </w:r>
            <w:r w:rsidR="00B12B86" w:rsidRPr="00B12B86">
              <w:rPr>
                <w:color w:val="EE0000"/>
                <w:sz w:val="21"/>
                <w:szCs w:val="21"/>
              </w:rPr>
              <w:t xml:space="preserve">acrescentaria no enunciado: negativo para </w:t>
            </w:r>
            <w:proofErr w:type="spellStart"/>
            <w:r w:rsidR="00B12B86" w:rsidRPr="00B12B86">
              <w:rPr>
                <w:color w:val="EE0000"/>
                <w:sz w:val="21"/>
                <w:szCs w:val="21"/>
              </w:rPr>
              <w:t>parvovoriose</w:t>
            </w:r>
            <w:proofErr w:type="spellEnd"/>
          </w:p>
          <w:p w14:paraId="27F15D72" w14:textId="77777777" w:rsidR="003D0473" w:rsidRDefault="00000000"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 w14:paraId="719A945C" w14:textId="77777777" w:rsidR="003D0473" w:rsidRDefault="00000000">
            <w:pPr>
              <w:spacing w:after="100"/>
            </w:pPr>
            <w:proofErr w:type="gramStart"/>
            <w:r>
              <w:rPr>
                <w:sz w:val="21"/>
                <w:szCs w:val="21"/>
              </w:rPr>
              <w:t>(  )</w:t>
            </w:r>
            <w:proofErr w:type="gramEnd"/>
            <w:r>
              <w:rPr>
                <w:sz w:val="21"/>
                <w:szCs w:val="21"/>
              </w:rPr>
              <w:t xml:space="preserve"> Vou mandar a foto da página</w:t>
            </w:r>
          </w:p>
        </w:tc>
      </w:tr>
    </w:tbl>
    <w:p w14:paraId="2A16135C" w14:textId="77777777" w:rsidR="003D0473" w:rsidRDefault="00000000">
      <w:pPr>
        <w:spacing w:after="100"/>
      </w:pPr>
      <w:r>
        <w:rPr>
          <w:sz w:val="21"/>
          <w:szCs w:val="21"/>
        </w:rPr>
        <w:t xml:space="preserve"> </w:t>
      </w:r>
    </w:p>
    <w:sectPr w:rsidR="003D0473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A4294"/>
    <w:multiLevelType w:val="hybridMultilevel"/>
    <w:tmpl w:val="2F24F5C8"/>
    <w:lvl w:ilvl="0" w:tplc="7BDE78A8">
      <w:start w:val="1"/>
      <w:numFmt w:val="bullet"/>
      <w:lvlText w:val="●"/>
      <w:lvlJc w:val="left"/>
      <w:pPr>
        <w:ind w:left="720" w:hanging="360"/>
      </w:pPr>
    </w:lvl>
    <w:lvl w:ilvl="1" w:tplc="568EE250">
      <w:start w:val="1"/>
      <w:numFmt w:val="bullet"/>
      <w:lvlText w:val="○"/>
      <w:lvlJc w:val="left"/>
      <w:pPr>
        <w:ind w:left="1440" w:hanging="360"/>
      </w:pPr>
    </w:lvl>
    <w:lvl w:ilvl="2" w:tplc="AEB86650">
      <w:start w:val="1"/>
      <w:numFmt w:val="bullet"/>
      <w:lvlText w:val="■"/>
      <w:lvlJc w:val="left"/>
      <w:pPr>
        <w:ind w:left="2160" w:hanging="360"/>
      </w:pPr>
    </w:lvl>
    <w:lvl w:ilvl="3" w:tplc="73B8CFBC">
      <w:start w:val="1"/>
      <w:numFmt w:val="bullet"/>
      <w:lvlText w:val="●"/>
      <w:lvlJc w:val="left"/>
      <w:pPr>
        <w:ind w:left="2880" w:hanging="360"/>
      </w:pPr>
    </w:lvl>
    <w:lvl w:ilvl="4" w:tplc="D974C01A">
      <w:start w:val="1"/>
      <w:numFmt w:val="bullet"/>
      <w:lvlText w:val="○"/>
      <w:lvlJc w:val="left"/>
      <w:pPr>
        <w:ind w:left="3600" w:hanging="360"/>
      </w:pPr>
    </w:lvl>
    <w:lvl w:ilvl="5" w:tplc="26A025F4">
      <w:start w:val="1"/>
      <w:numFmt w:val="bullet"/>
      <w:lvlText w:val="■"/>
      <w:lvlJc w:val="left"/>
      <w:pPr>
        <w:ind w:left="4320" w:hanging="360"/>
      </w:pPr>
    </w:lvl>
    <w:lvl w:ilvl="6" w:tplc="7D1AD098">
      <w:start w:val="1"/>
      <w:numFmt w:val="bullet"/>
      <w:lvlText w:val="●"/>
      <w:lvlJc w:val="left"/>
      <w:pPr>
        <w:ind w:left="5040" w:hanging="360"/>
      </w:pPr>
    </w:lvl>
    <w:lvl w:ilvl="7" w:tplc="EE6AD8A6">
      <w:start w:val="1"/>
      <w:numFmt w:val="bullet"/>
      <w:lvlText w:val="●"/>
      <w:lvlJc w:val="left"/>
      <w:pPr>
        <w:ind w:left="5760" w:hanging="360"/>
      </w:pPr>
    </w:lvl>
    <w:lvl w:ilvl="8" w:tplc="16C4B3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8F79EB"/>
    <w:multiLevelType w:val="hybridMultilevel"/>
    <w:tmpl w:val="F4FAC2F4"/>
    <w:lvl w:ilvl="0" w:tplc="BC56C1CC">
      <w:start w:val="1"/>
      <w:numFmt w:val="bullet"/>
      <w:lvlText w:val="•"/>
      <w:lvlJc w:val="left"/>
      <w:pPr>
        <w:ind w:left="540" w:hanging="270"/>
      </w:pPr>
    </w:lvl>
    <w:lvl w:ilvl="1" w:tplc="21984344">
      <w:numFmt w:val="decimal"/>
      <w:lvlText w:val=""/>
      <w:lvlJc w:val="left"/>
    </w:lvl>
    <w:lvl w:ilvl="2" w:tplc="0AD6F454">
      <w:numFmt w:val="decimal"/>
      <w:lvlText w:val=""/>
      <w:lvlJc w:val="left"/>
    </w:lvl>
    <w:lvl w:ilvl="3" w:tplc="C22C9DD0">
      <w:numFmt w:val="decimal"/>
      <w:lvlText w:val=""/>
      <w:lvlJc w:val="left"/>
    </w:lvl>
    <w:lvl w:ilvl="4" w:tplc="A5B22EEC">
      <w:numFmt w:val="decimal"/>
      <w:lvlText w:val=""/>
      <w:lvlJc w:val="left"/>
    </w:lvl>
    <w:lvl w:ilvl="5" w:tplc="887A4968">
      <w:numFmt w:val="decimal"/>
      <w:lvlText w:val=""/>
      <w:lvlJc w:val="left"/>
    </w:lvl>
    <w:lvl w:ilvl="6" w:tplc="9C1C78C2">
      <w:numFmt w:val="decimal"/>
      <w:lvlText w:val=""/>
      <w:lvlJc w:val="left"/>
    </w:lvl>
    <w:lvl w:ilvl="7" w:tplc="3662A4C0">
      <w:numFmt w:val="decimal"/>
      <w:lvlText w:val=""/>
      <w:lvlJc w:val="left"/>
    </w:lvl>
    <w:lvl w:ilvl="8" w:tplc="FA5078D4">
      <w:numFmt w:val="decimal"/>
      <w:lvlText w:val=""/>
      <w:lvlJc w:val="left"/>
    </w:lvl>
  </w:abstractNum>
  <w:num w:numId="1" w16cid:durableId="191647968">
    <w:abstractNumId w:val="0"/>
    <w:lvlOverride w:ilvl="0">
      <w:startOverride w:val="1"/>
    </w:lvlOverride>
  </w:num>
  <w:num w:numId="2" w16cid:durableId="16353319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0473"/>
    <w:rsid w:val="003D0473"/>
    <w:rsid w:val="00AF2129"/>
    <w:rsid w:val="00B12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E242B"/>
  <w15:docId w15:val="{9530720F-75B4-4E02-9EB9-B81AF87B8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2308</Words>
  <Characters>12469</Characters>
  <Application>Microsoft Office Word</Application>
  <DocSecurity>0</DocSecurity>
  <Lines>103</Lines>
  <Paragraphs>29</Paragraphs>
  <ScaleCrop>false</ScaleCrop>
  <Company/>
  <LinksUpToDate>false</LinksUpToDate>
  <CharactersWithSpaces>14748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Utilizador</cp:lastModifiedBy>
  <cp:revision>2</cp:revision>
  <dcterms:created xsi:type="dcterms:W3CDTF">2026-10-29T15:22:00Z</dcterms:created>
  <dcterms:modified xsi:type="dcterms:W3CDTF">2026-10-29T15:22:00Z</dcterms:modified>
</cp:coreProperties>
</file>