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240"/>
      </w:pPr>
      <w:r>
        <w:rPr>
          <w:b/>
          <w:bCs/>
          <w:color w:val="3D0631"/>
          <w:sz w:val="32"/>
          <w:szCs w:val="32"/>
        </w:rPr>
        <w:t xml:space="preserve">Casos do dia · Grupo VIP</w:t>
      </w:r>
    </w:p>
    <w:p>
      <w:pPr>
        <w:spacing w:after="100"/>
      </w:pPr>
      <w:r>
        <w:rPr>
          <w:i/>
          <w:iCs/>
          <w:color w:val="C01275"/>
          <w:sz w:val="21"/>
          <w:szCs w:val="21"/>
        </w:rPr>
        <w:t xml:space="preserve">Dra. Maria Paula · validar até quarta, 11/11</w:t>
      </w:r>
    </w:p>
    <w:p>
      <w:pPr>
        <w:spacing w:after="100"/>
      </w:pPr>
      <w:r>
        <w:rPr>
          <w:sz w:val="21"/>
          <w:szCs w:val="21"/>
        </w:rPr>
        <w:t xml:space="preserve">De 12/11 a 26/11, sai um caso por dia no Grupo VIP: às 12h o caso com uma enquete, às 19h30 a resposta. A resposta mostra a conduta, sem dose, e manda para a página do Guia onde está o protocolo completo. Se você mandar a foto da página, ela vai junto com a resposta.</w:t>
      </w:r>
    </w:p>
    <w:p>
      <w:pPr>
        <w:spacing w:after="100"/>
      </w:pPr>
      <w:r>
        <w:rPr>
          <w:sz w:val="21"/>
          <w:szCs w:val="21"/>
        </w:rPr>
        <w:t xml:space="preserve">Os casos foram montados a partir do Guia de Protocolos, Volume 3. Em cada um, confira: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se a conduta está certa e é a que você usa;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se a alternativa em verde é mesmo a certa, e as outras são erros que você vê na rotina;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se a página indicada é a certa.</w:t>
      </w:r>
    </w:p>
    <w:p>
      <w:pPr>
        <w:spacing w:after="100"/>
      </w:pPr>
      <w:r>
        <w:rPr>
          <w:sz w:val="21"/>
          <w:szCs w:val="21"/>
        </w:rPr>
        <w:t xml:space="preserve">Os casos com </w:t>
      </w:r>
      <w:r>
        <w:rPr>
          <w:b/>
          <w:bCs/>
          <w:color w:val="A64B00"/>
          <w:sz w:val="21"/>
          <w:szCs w:val="21"/>
        </w:rPr>
        <w:t xml:space="preserve">⚠ Conferir com atenção</w:t>
      </w:r>
      <w:r>
        <w:rPr>
          <w:sz w:val="21"/>
          <w:szCs w:val="21"/>
        </w:rPr>
        <w:t xml:space="preserve"> têm um ponto em que a conduta pode variar. Se não concordar, é só escrever o ajuste ou trocar por um dos 2 reservas do fim.</w:t>
      </w:r>
    </w:p>
    <w:p>
      <w:pPr>
        <w:spacing w:after="100"/>
      </w:pPr>
      <w:r>
        <w:rPr>
          <w:sz w:val="21"/>
          <w:szCs w:val="21"/>
        </w:rPr>
        <w:t xml:space="preserve">Marque OK ou escreva o ajuste em cada um. E marque "foto da página" se for mandar a foto.</w:t>
      </w:r>
    </w:p>
    <w:p>
      <w:pPr>
        <w:pStyle w:val="Heading1"/>
        <w:spacing w:after="160" w:before="240"/>
      </w:pPr>
      <w:r>
        <w:rPr>
          <w:b/>
          <w:bCs/>
          <w:color w:val="3D0631"/>
          <w:sz w:val="32"/>
          <w:szCs w:val="32"/>
        </w:rPr>
        <w:t xml:space="preserve">Casos para validar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#1 · AINE no gato · Gato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quinta, 12/11: 12h o caso, 19h30 a resposta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Gata persa, 12 anos, com dor e limitação articular por doença articular degenerativa. Na escolha do anti-inflamatório não esteroidal, qual fármaco é contraindicado para a espécie felina?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 xml:space="preserve">Qual fármaco é contraindicado?</w:t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A) Carprofeno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B) Meloxicam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C) Dipirona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A. O carprofeno é contraindicado em felinos, pelo alto risco de toxicidade renal e hepática nessa espécie. Para a dor articular do gato, usamos opções com segurança comprovada para a espécie, por períodos curtos, dentro de uma analgesia multimodal.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tabela de AINEs permitidos e proibidos para gatos, a analgesia multimodal felina e a conduta na dor crônica.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Página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Volume 3 · Capítulo Alterações Osteoarticulares · "Artrite e Artrose" · p. 17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Foto sugerida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Página 17, nas observações sobre o uso de AINEs em gatos.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⚠ Conferir com atenção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4E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color w:val="A64B00"/>
                <w:sz w:val="21"/>
                <w:szCs w:val="21"/>
              </w:rPr>
              <w:t xml:space="preserve">"Estritamente contraindicado" é forte: há quem use carprofeno em dose única no gato. Confirmar se é o que o Guia diz. A dipirona como alternativa "errada" também merece um olhar.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Vou mandar a foto da página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#2 · Otite por Malassezia · Cão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sexta, 13/11: 12h o caso, 19h30 a resposta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Cocker Spaniel, 5 anos, com eritema, prurido e secreção enegrecida e ceruminosa nos dois condutos auditivos. A citologia mostra muita Malassezia sp., sem cocos e sem bacilos. Qual é a sua conduta?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 xml:space="preserve">Qual é a sua conduta?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A) Antibiótico otológico com gentamicina e corticoide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B) Antibiótico sistêmico por via oral por vinte dias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C) Solução otológica antifúngica, sem antibiótico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C. Solução otológica antifúngica, sem antibiótico. Quando a citologia mostra só leveduras, não há motivo para incluir antibacteriano. O antibiótico tópico sem indicação ainda seleciona bactérias resistentes no conduto, e a próxima otite fica mais difícil.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classificação das otites pela citologia, o ativo para cocos, bacilos ou leveduras, o protocolo de limpeza e a conduta nas otites recidivantes.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Página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Volume 3 · Capítulo Dermatopatias · "Otite por Malassezia" · p. 46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Foto sugerida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Página 46, no tópico "Otite por Malassezia (sem presença de bactérias)".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Vou mandar a foto da página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#3 · Antiemético na parvovirose · Cão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domingo, 15/11: 12h o caso, 19h30 a resposta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Filhote de Pitbull, 4 meses, chega no plantão com diarreia fétida e sanguinolenta, prostração e vômitos frequentes. Para controlar o vômito e a dor visceral, qual antiemético você evita nesse paciente?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 xml:space="preserve">Qual antiemético você evita?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A) Maropitant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B) Metoclopramida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C) Ondansetrona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B. A metoclopramida. Por ser procinética, ela aumenta o peristaltismo e pode piorar as cólicas, a dor visceral e o risco de intussuscepção no paciente com parvovirose. Para o vômito, preferimos o maropitant ou a ondansetrona.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 suporte completo na parvovirose: fluidoterapia de reposição, antieméticos indicados e o protocolo para tutores de baixa renda.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Página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Volume 3 · Capítulo Doenças Infectocontagiosas · "Parvovirose" · p. 78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Foto sugerida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Página 78, no item "Controle de náuseas e vômitos".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⚠ Conferir com atenção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4E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color w:val="A64B00"/>
                <w:sz w:val="21"/>
                <w:szCs w:val="21"/>
              </w:rPr>
              <w:t xml:space="preserve">Muita gente usa metoclopramida em infusão na parvovirose. Confirmar se o Guia recomenda mesmo evitar.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Vou mandar a foto da página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#4 · Gato agressivo na consulta · Gato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segunda, 16/11: 12h o caso, 19h30 a resposta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Gato de 4 anos, muito arredio e estressado, precisa de exame físico e coleta de exames. A tutora conta que ele não deixa ninguém manipular na clínica. Qual protocolo oral você indica antes da consulta?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 xml:space="preserve">Qual é a sua conduta?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A) Trazodona oral duas horas antes da consulta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B) Acepromazina oral em gota antes de sair de casa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C) Gabapentina oral duas horas antes da consulta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C. Gabapentina oral antes da consulta. No gato, ela reduz a ansiedade e a agressividade sem depressão cardiorrespiratória importante, e o exame fica seguro e sem estresse. A trazodona entra principalmente na tranquilização oral dos cães.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 manejo do paciente ansioso, os protocolos de tranquilização oral para cães e gatos e as orientações de segurança na consulta.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Página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Volume 3 · Capítulo Clínica Geral · "Exame Físico: Roteiro e Abordagem" · p. 12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Foto sugerida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Página 12, no tópico de tranquilização oral para cães e gatos.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⚠ Conferir com atenção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4E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color w:val="A64B00"/>
                <w:sz w:val="21"/>
                <w:szCs w:val="21"/>
              </w:rPr>
              <w:t xml:space="preserve">A trazodona também é usada em gatos. Confirmar se o Guia coloca a gabapentina como a escolha para o felino, para a trazodona não ficar como "errada" de forma injusta.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Vou mandar a foto da página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#5 · Manutenção da atopia · Cão · novo no Volume 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quarta, 18/11: 12h o caso, 19h30 a resposta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Shih Tzu, 3 anos, atópico, com o prurido controlado depois de uma crise. O tutor quer saber como manter o controle a longo prazo, sem os efeitos do corticoide. Qual é a sua conduta de manutenção?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 xml:space="preserve">Qual é a sua conduta?</w:t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A) Inibidor de JAK na manutenção, com cuidado da barreira cutânea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B) Corticoide oral contínuo, em dias alternados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C) Triancinolona de depósito uma vez por mês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A. Inibidor de JAK na manutenção, junto com o cuidado da barreira cutânea. Além do oclacitinib, o Volume 3 traz o ilunocitinib. O corticoide contínuo, oral ou de depósito, controla o prurido, mas cobra caro: Cushing iatrogênico e outros efeitos sistêmicos. O erro comum é deixar o atópico anos no corticoide.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 esquema da crise e da manutenção da atopia, com oclacitinib, ilunocitinib, imunobiológicos e a restauração da barreira cutânea.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Página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Volume 3 · Capítulo Dermatopatias · "Atopia" · p. 33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Foto sugerida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Página 33, no tópico "Tratamento de manutenção do prurido".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⚠ Conferir com atenção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4E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color w:val="A64B00"/>
                <w:sz w:val="21"/>
                <w:szCs w:val="21"/>
              </w:rPr>
              <w:t xml:space="preserve">Este texto foi reescrito por nós (a versão original perguntava "qual é a novidade do Volume 3"). Conferir se a conduta está como no Guia.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Vou mandar a foto da página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#6 · Leishmaniose · Cão · novo no Volume 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quinta, 19/11: 12h o caso, 19h30 a resposta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Cão com leishmaniose visceral confirmada, estágio III pelo BrasilLeish 2025, sem comprometimento renal. O tutor ouviu que a única saída seria a eutanásia. Qual conduta as diretrizes do Guia recomendam?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 xml:space="preserve">Qual é a conduta correta?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A) Eutanásia, por ser zoonose sem cura parasitológica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B) Protocolo com leishmanicida, leishmaniostático e imunomodulador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C) Só corticoide até os sinais clínicos sumirem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B. Tratamento multimodal, com leishmanicida, leishmaniostático e imunomodulador. Com tratamento, coleira repelente e acompanhamento, a carga parasitária cai e o risco de transmissão diminui. A eutanásia não é a primeira opção: fica para o paciente sem resposta e em sofrimento irreversível.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tabela atualizada do BrasilLeish 2025, o estadiamento do estágio I ao VI e os protocolos com miltefosina, alopurinol, domperidona e imunoterapia.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Página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Volume 3 · Capítulo Doenças Infectocontagiosas · "Leishmaniose" · p. 70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Foto sugerida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Páginas 72 e 73, com a tabela de estadiamento e condutas do BrasilLeish 2025.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⚠ Conferir com atenção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4E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color w:val="A64B00"/>
                <w:sz w:val="21"/>
                <w:szCs w:val="21"/>
              </w:rPr>
              <w:t xml:space="preserve">Conferir o estágio do caso (a versão original dizia "estágio III, doença leve"). Tiramos a frase "um cão tratado não representa risco à saúde pública", que não é verdade.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Vou mandar a foto da página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#7 · Antibiótico na pancreatite · Cão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sábado, 21/11: 12h o caso, 19h30 a resposta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Poodle, 8 anos, chega no plantão com dor abdominal intensa (posição de prece), vômitos e lipase pancreática específica alterada. Com o diagnóstico de pancreatite aguda, qual é a sua conduta quanto ao antibiótico?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 xml:space="preserve">E o antibiótico?</w:t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A) Não prescrever de rotina: a pancreatite é um processo estéril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B) Enrofloxacino com metronidazol, já na entrada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C) Cefalosporina de terceira geração por via intravenosa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A. Não prescrever de rotina. A pancreatite é uma inflamação estéril, de autodigestão enzimática. O antibiótico fica para quando há infecção bacteriana secundária confirmada ou forte suspeita, ou sepse. O foco é analgesia e fluidoterapia.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 suporte intensivo na pancreatite, a analgesia multimodal, o controle do vômito, os protetores gástricos e os critérios para antibiótico.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Página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Volume 3 · Capítulo Distúrbios Gastrointestinais · "Pancreatite" · p. 100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Foto sugerida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Página 100, no tópico "Antibioticoterapia".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Vou mandar a foto da página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#8 · Sarna otodécica · Gato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segunda, 23/11: 12h o caso, 19h30 a resposta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Filhote de gato, 3 meses, com prurido auricular intenso e cerúmen escuro, com aspecto de borra de café. A citologia confirma Otodectes cynotis. Qual é o tratamento de escolha para eliminar o ácaro?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 xml:space="preserve">Qual é o tratamento de escolha?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A) Gotas otológicas com gentamicina por dez dias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B) Limpeza diária do conduto só com solução fisiológica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C) Antiparasitário de selamectina ou moxidectina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C. Antiparasitário com selamectina ou moxidectina. A sarna otodécica é causada por um ácaro, e a gota otológica com antibiótico não elimina o parasita: é um erro comum, que ainda favorece a otite secundária.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 diagnóstico citológico do Otodectes, o protocolo de limpeza auricular e o manejo antiparasitário em felinos.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Página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Volume 3 · Capítulo Dermatopatias · "Sarna Otodécica" · p. 50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Foto sugerida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Página 50, no quadro-síntese do tratamento da sarna otodécica.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Vou mandar a foto da página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#9 · Início da levotiroxina · Cão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terça, 24/11: 12h o caso, 19h30 a resposta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Golden Retriever, 6 anos, com hipotireoidismo primário confirmado: ganho de peso, alopecia em cauda de rato e T4 livre baixo. Como você introduz a levotiroxina?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 xml:space="preserve">Como introduzir a medicação?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A) Dose total desde o primeiro dia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B) Aumentar aos poucos, semana a semana, até a dose total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C) Dose total só nos fins de semana, para adaptar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B. Aos poucos, ao longo de quatro semanas: começa com uma fração da dose e aumenta a cada semana até a dose total. Esse cuidado evita taquicardia, agitação e complicações cardiovasculares por uma mudança hormonal brusca.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 esquema de introdução em 4 semanas, as doses para os quadros clínicos e subclínicos e os ajustes em pacientes com comorbidades.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Página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Volume 3 · Capítulo Doenças Endócrinas · "Hipotireoidismo" · p. 59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Foto sugerida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Página 59, no tópico "Protocolo de introdução do tratamento".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⚠ Conferir com atenção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4E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color w:val="A64B00"/>
                <w:sz w:val="21"/>
                <w:szCs w:val="21"/>
              </w:rPr>
              <w:t xml:space="preserve">Na literatura, a introdução gradual costuma ficar para cardiopatas e idosos; no paciente sem comorbidade muitos começam com a dose total. Confirmar se o Guia indica a introdução gradual para todos.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Vou mandar a foto da página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Caso #10 · Imidocarb na babesiose · Cão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Quando sai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quinta, 26/11: 12h o caso, 19h30 a resposta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Cão com babesiose confirmada por PCR recebe o dipropionato de imidocarb por via subcutânea. Qual é a conduta indispensável logo depois da aplicação, na clínica?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 xml:space="preserve">Qual é a conduta imediata?</w:t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A) Observação clínica por pelo menos três horas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B) Liberar para repousar em casa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C) Corticoide em dose alta antes de liberar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A. Observação clínica por pelo menos três horas. O imidocarb pode causar reação colinérgica: sialorreia, tremores, vômito, bradicardia e até desconforto respiratório. Se acontecer, o suporte tem que ser imediato, e por isso o paciente não vai embora logo depois da aplicação.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 cálculo da dose por peso, o intervalo entre as aplicações, as reações adversas e o manejo das complicações.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Página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Volume 3 · Capítulo Doenças Transmitidas pelo Carrapato · "Babesia" · p. 85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Foto sugerida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Página 85, no tópico "Reações adversas ao Imizol (imidocarb)".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Vou mandar a foto da página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r>
        <w:br w:type="page"/>
      </w:r>
    </w:p>
    <w:p>
      <w:pPr>
        <w:pStyle w:val="Heading1"/>
        <w:spacing w:after="160" w:before="240"/>
      </w:pPr>
      <w:r>
        <w:rPr>
          <w:b/>
          <w:bCs/>
          <w:color w:val="3D0631"/>
          <w:sz w:val="32"/>
          <w:szCs w:val="32"/>
        </w:rPr>
        <w:t xml:space="preserve">Reservas</w:t>
      </w:r>
    </w:p>
    <w:p>
      <w:pPr>
        <w:spacing w:after="100"/>
      </w:pPr>
      <w:r>
        <w:rPr>
          <w:sz w:val="21"/>
          <w:szCs w:val="21"/>
        </w:rPr>
        <w:t xml:space="preserve">Se você vetar algum caso, um destes entra no lugar, no mesmo dia e horário.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Reserva R1 · Tempo de tratamento da erliquiose · Cão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Cão com erliquiose monocítica confirmada. No 14º dia de doxiciclina, os sinais sumiram e o tutor quer suspender o tratamento. O que você orienta?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 xml:space="preserve">Qual é a conduta correta?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A) Suspender: a melhora clínica confirma a cura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B) Manter a doxiciclina até completar 28 dias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C) Trocar por enrofloxacino por mais sete dias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B. Manter a doxiciclina até completar 28 dias. Parar quando o paciente melhora favorece a recidiva e a evolução para a fase crônica. E, como todo antibiótico, ela vai depois da alimentação.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 protocolo da erliquiose, o suporte hematológico, os hepatoprotetores e o acompanhamento laboratorial.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Página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Volume 3 · Capítulo Doenças Transmitidas pelo Carrapato · "Tratamento da Erliquiose" · p. 87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Foto sugerida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Página 87, no tópico de duração do tratamento da erliquiose.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Vou mandar a foto da página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5"/>
          <w:szCs w:val="25"/>
        </w:rPr>
        <w:t xml:space="preserve">Reserva R2 · Gastroenterite aguda · Cão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Caso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Cão sem raça definida, 3 anos, com diarreia pastosa e dois vômitos nas últimas 24 h. Está normotérmico, alerta e hidratado, e não há sangue nas fezes. Qual é a sua conduta inicial?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Enquete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i/>
                <w:iCs/>
                <w:sz w:val="21"/>
                <w:szCs w:val="21"/>
              </w:rPr>
              <w:t xml:space="preserve">Qual é a sua conduta?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A) Enrofloxacino com antisséptico intestinal e antidiarreico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  <w:p>
            <w:pPr>
              <w:spacing w:after="100"/>
            </w:pPr>
            <w:r>
              <w:rPr>
                <w:b/>
                <w:bCs/>
                <w:color w:val="1B7A2E"/>
                <w:sz w:val="21"/>
                <w:szCs w:val="21"/>
              </w:rPr>
              <w:t xml:space="preserve">B) Suporte sintomático, hidratação e probiótico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>   ✔ certa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C) Corticoide com metronidazol</w:t>
            </w:r>
            <w:r>
              <w:rPr>
                <w:b/>
                <w:bCs/>
                <w:color w:val="1B7A2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Resposta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A resposta é a B. Suporte sintomático, hidratação e probiótico. A maioria das gastroenterites agudas é alimentar ou viral leve. O antibiótico sem indicação elimina a flora benéfica, atrasa a recuperação e causa disbiose. Ele fica para suspeita de infecção bacteriana grave, risco de translocação ou diarreia hemorrágica.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Fica para o Guia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O protocolo das gastroenterites, os critérios para antibiótico, os antieméticos, a analgesia e os protetores gástricos.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Página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Volume 3 · Capítulo Distúrbios Gastrointestinais · "Gastroenterites: tratamento inicial" · p. 93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Foto sugerida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Página 94, no tópico "Por que evitar o uso de antibióticos?".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b/>
                <w:bCs/>
                <w:color w:val="3D0631"/>
                <w:sz w:val="21"/>
                <w:szCs w:val="21"/>
              </w:rPr>
              <w:t xml:space="preserve">Validação</w:t>
            </w:r>
          </w:p>
        </w:tc>
        <w:tc>
          <w:tcPr>
            <w:tcW w:type="dxa" w:w="74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OK      (  ) Ajustar: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100"/>
            </w:pPr>
            <w:r>
              <w:rPr>
                <w:sz w:val="21"/>
                <w:szCs w:val="21"/>
              </w:rPr>
              <w:t xml:space="preserve">(  ) Vou mandar a foto da página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2026-10-29T11:52:57.411Z</dcterms:created>
  <dcterms:modified xsi:type="dcterms:W3CDTF">2026-10-29T11:52:57.411Z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