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Validar e gravar · Black do Guia</w:t>
      </w:r>
    </w:p>
    <w:p>
      <w:pPr>
        <w:spacing w:after="100"/>
      </w:pPr>
      <w:r>
        <w:rPr>
          <w:i/>
          <w:iCs/>
          <w:color w:val="C01275"/>
          <w:sz w:val="21"/>
          <w:szCs w:val="21"/>
        </w:rPr>
        <w:t xml:space="preserve">Dra. Maria Paula</w:t>
      </w:r>
    </w:p>
    <w:p>
      <w:pPr>
        <w:spacing w:after="100"/>
      </w:pPr>
      <w:r>
        <w:rPr>
          <w:sz w:val="21"/>
          <w:szCs w:val="21"/>
        </w:rPr>
        <w:t xml:space="preserve">Os casos abaixo vão para o Grupo VIP: às 12h o caso com enquete, às 19h30 a resposta. A resposta mostra a conduta, sem doses: o protocolo completo fica como "está no Guia".</w:t>
      </w:r>
    </w:p>
    <w:p>
      <w:pPr>
        <w:spacing w:after="100"/>
      </w:pPr>
      <w:r>
        <w:rPr>
          <w:sz w:val="21"/>
          <w:szCs w:val="21"/>
        </w:rPr>
        <w:t xml:space="preserve">Confira em cada caso se a conduta está correta e se a alternativa certa (em verde) é mesmo a certa. Marque OK ou escreva o ajuste.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cantSplit/>
        </w:trPr>
        <w:tc>
          <w:tcPr>
            <w:tcW w:type="dxa" w:w="50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O que</w:t>
            </w:r>
          </w:p>
        </w:tc>
        <w:tc>
          <w:tcPr>
            <w:tcW w:type="dxa" w:w="46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Até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Validar o Caso #0</w:t>
            </w:r>
          </w:p>
        </w:tc>
        <w:tc>
          <w:tcPr>
            <w:tcW w:type="dxa" w:w="46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sexta, 30/10 (sai sábado, 31/10)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Gravar o vídeo de bastidor</w:t>
            </w:r>
          </w:p>
        </w:tc>
        <w:tc>
          <w:tcPr>
            <w:tcW w:type="dxa" w:w="46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sábado, 07/11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 w:val="false"/>
                <w:bCs w:val="false"/>
                <w:sz w:val="21"/>
                <w:szCs w:val="21"/>
              </w:rPr>
              <w:t xml:space="preserve">Gravar o áudio para o grupo</w:t>
            </w:r>
          </w:p>
        </w:tc>
        <w:tc>
          <w:tcPr>
            <w:tcW w:type="dxa" w:w="46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domingo, 08/11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 w:val="false"/>
                <w:bCs w:val="false"/>
                <w:sz w:val="21"/>
                <w:szCs w:val="21"/>
              </w:rPr>
              <w:t xml:space="preserve">Validar os Casos #1 a #10</w:t>
            </w:r>
          </w:p>
        </w:tc>
        <w:tc>
          <w:tcPr>
            <w:tcW w:type="dxa" w:w="46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sz w:val="21"/>
                <w:szCs w:val="21"/>
              </w:rPr>
              <w:t xml:space="preserve">quarta, 11/11</w:t>
            </w:r>
          </w:p>
        </w:tc>
      </w:tr>
    </w:tbl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Para gravar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Vídeo de bastidor · até sábado, 07/11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15 a 30 segundos, vertical, com luz natural.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Você com as 3 caixas rosa embrulhadas, sem mostrar o que tem dentro.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Áudio para o grupo · até domingo, 08/11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Até 1 minuto, do seu jeito.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Quem você é, em uma frase.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 terça, 10/11, às 20h, você abre ao vivo no seu Instagram os 3 presentes da Black.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Que vai mostrar casos reais da Amar.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Um pedido: "toca em Vou no evento aqui do grupo, que o WhatsApp te lembra na hora".</w:t>
      </w:r>
    </w:p>
    <w:p>
      <w:r>
        <w:br w:type="page"/>
      </w:r>
    </w:p>
    <w:p>
      <w:pPr>
        <w:pStyle w:val="Heading1"/>
        <w:spacing w:after="160" w:before="240"/>
      </w:pPr>
      <w:r>
        <w:rPr>
          <w:b/>
          <w:bCs/>
          <w:color w:val="3D0631"/>
          <w:sz w:val="32"/>
          <w:szCs w:val="32"/>
        </w:rPr>
        <w:t xml:space="preserve">Casos para validar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#0 · Estado epilético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sáb 31/10, 12h · resposta dom 01/11,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Labrador, 6 anos, chega nos braços do tutor convulsionando. Ele conta que a crise começou em casa há uns 5 minutos e não parou. Ainda não tem acesso venoso. Qual é a sua primeira conduta?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Pegar o acesso venoso antes de medicar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Benzodiazepínico agora, pela via que tiver (intrarretal ou IM)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Esperar a crise passar e investigar a causa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Crise de 5 minutos ou mais é status epilepticus, uma emergência com alto risco de óbito. A prioridade é interromper a crise na hora com benzodiazepínico. Sem acesso venoso, não se perde tempo: existe a via intrarretal e a IM. O erro comum é gastar minutos tentando o acesso. E convulsão é sinal, não diagnóstico: depois de controlar, glicemia imediata e investigação da causa.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Doses do diazepam e do midazolam, o protocolo da crise refratária e a prevenção de novas crises (capítulo de Emergências, novo no Volume 3).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#1 · Corticoide no gato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 12/11,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Gato, 4 anos, com lesão ulcerada no lábio superior. A citologia por imprint mostra muitos eosinófilos: complexo granuloma eosinofílico, primeira ocorrência, lesão pequena. Qual corticoide você prescreve?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Prednisolona oral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Prednisona oral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Depo-Medrol já na primeira consulta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Prednisolona. O gato não converte a prednisona em prednisolona de forma eficiente, por uma deficiência enzimática hepática, então a prednisona perde efeito nele. Em lesão pequena e de primeira ocorrência, muitos pacientes respondem só à prednisolona oral, sem corticoide de depósito. O Depo-Medrol fica para casos moderados a graves, e nunca em gato diabético sem acompanhamento de endocrinologista.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Dose e duração da prednisolona, quando usar o Depo-Medrol e o desmame obrigatório depois dele.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#2 · Indução de vômito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sex 13/11,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de 3 anos, consciente e responsivo. O tutor chega dizendo que ele comeu um agente tóxico há uns 40 minutos. O produto não é corrosivo nem oleoso. Você induz o vômito?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Sim, sempre que houver ingestão de tóxico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Sim, e se não vomitar, faz lavagem gástrica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Não: passou da janela de 30 minutos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Não. A indução de vômito só é considerada quando a ingestão foi há no máximo 30 minutos, com o paciente consciente, sem risco de aspiração e sem sinais neurológicos graves, e quando o agente não é corrosivo, cáustico ou oleoso. Depois disso o tóxico já foi absorvido em parte, e nem a indução nem a lavagem gástrica trazem benefício. O erro comum é induzir "por garantia".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protocolo de indução (com as opções de fármaco e dose) e todos os critérios de quando não induzir.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#3 · Hipoglicemia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dom 15/11,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Filhote de raça mini, 2 meses, chega inconsciente depois de passar o dia sem comer. O glicosímetro confirma hipoglicemia. Qual é a primeira conduta?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Mel ou solução açucarada na gengiva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Glicose 50% IV, em bolus lento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Fluidoterapia sem glicose e reavaliar em 1 hora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Glicose 50% IV, em bolus lento. A via oral (glicose, mel ou solução açucarada) é só para o paciente consciente: no inconsciente há risco de aspiração e a absorção não é confiável. Depois da correção inicial, fluidoterapia com glicose e glicemia a cada 15 minutos até estabilizar, sem correção abrupta. E investigar a causa: filhotes e raças mini são o grupo de maior risco.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dose da glicose, o monitoramento e o capítulo novo de hipoglicemia, hipotermia e hipertermia.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#4 · Antibiótico e estômago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seg 16/11,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vai fazer 20 dias de antibiótico. O tutor pergunta se precisa dar omeprazol junto "para proteger o estômago". O que você orienta?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Sim, omeprazol durante todo o antibiótico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Não: dar o antibiótico sempre depois da alimentação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Trocar por antibiótico injetável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Não é mais recomendado o omeprazol preventivo de rotina em antibiótico prolongado. A conduta atual é orientar que todo antibiótico seja dado depois da alimentação, o que reduz bastante os efeitos gastrointestinais e previne a gastrite induzida por fármaco.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mudança vale para todos os protocolos do Guia, e cada tratamento traz o antibiótico, a dose e a duração.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#5 · Cinomose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qua 18/11,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Filhote com cinomose, sem nenhum sinal clínico ou laboratorial de infecção bacteriana secundária. Você entra com antibiótico?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Sim, antibiótico em todo caso de cinomose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Sim, dois antibióticos para ampliar o espectro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Só se houver sinal de infecção bacteriana secundária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O antibiótico não é obrigatório em todo caso de cinomose. Ele é indicado quando há sinais clínicos ou laboratoriais de infecção bacteriana secundária. E não se associa mais de um protocolo antibiótico ao mesmo tempo.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protocolo completo da cinomose, com o suporte e qual antibiótico usar quando ele é indicado.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#6 · Fluido e azotemia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 19/11,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idoso com ureia e creatinina altas nos exames, lesão renal aguda. A ideia na equipe é "entrar com bastante fluido para baixar os valores". O que você faz?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Fluido em taxa alta até normalizar ureia e creatinina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B) Avaliar caso a caso: fluido não "normaliza" azotemia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Nunca usar fluido em paciente renal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B. A fluidoterapia não reduz a azotemia na lesão renal aguda. Fluido em excesso sobrecarrega o rim, piora a função renal e favorece a progressão para doença renal crônica. O paciente precisa ser avaliado individualmente, e a fluidoterapia nunca deve ser instituída só para "normalizar" esses valores. Idosos, gatos, cardiopatas e anêmicos também pedem taxas mais conservadoras.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cálculo da fluidoterapia e os cuidados específicos para anêmicos, idosos, gatos, cardiopatas e renais.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#7 · Babesiose e Imizol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sáb 21/11,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babesiose confirmada. Você vai aplicar o Imizol (imidocarb). O que faz antes e depois da aplicação?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Atropina antes, de rotina, e libera o paciente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Aplica e libera, porque reação é rara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Sem atropina de rotina e observação de pelo menos 3 horas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O uso preventivo de atropina antes do Imizol não é mais indicado de rotina (alguns colegas ainda usam, e fica a critério do veterinário, avaliando o paciente). O que é obrigatório é observar o paciente por pelo menos 3 horas depois da aplicação. Se houver reação, o manejo é pelo sintoma, nunca com medicação preventiva.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cálculo da dose do Imizol, o intervalo entre as duas aplicações e a conduta para cada reação adversa.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#8 · Otite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seg 23/11,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otite. O tutor conta que limpa o ouvido todo dia, "para ajudar o remédio". O que você orienta?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Limpeza só quando houver secreção significativa, e tratamento guiado pela citologia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Limpeza diária durante todo o tratamento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Antibiótico tópico de amplo espectro, sem exame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Limpeza excessiva aumenta a inflamação e atrasa a recuperação: um pouco de cerúmen é protetor. A limpeza é feita no dia da consulta ou nos primeiros dias, quando há acúmulo de secreção. E a base da escolha do tratamento é a citologia do conduto, que diz se há cocos, bacilos ou Malassezia (otite só por Malassezia não leva antibiótico).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Qual medicamento usar em cada resultado da citologia, a conduta nas otites recidivantes e as dicas para o tutor.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#9 · Ligamento cruzado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ter 24/11,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Cão com teste de gaveta positivo e ruptura do ligamento cruzado cranial confirmada no raio-X. O tutor pergunta se dá para tratar só com remédio e repouso. O que você responde?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A) Dá: anti-inflamatório e repouso resolvem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Dá: condroprotetor regenera o ligamento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C) O manejo clínico é paliativo; o tratamento definitivo é cirúrgico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C. Até a cirurgia, o tratamento é paliativo, para controlar a dor e a inflamação, porque todo caso de ruptura do ligamento cruzado cranial é cirúrgico. O organismo não consegue regenerar o colágeno do ligamento com medicação. A técnica é definida pelo ortopedista, e o sucesso depende também de dor controlada, pós-operatório e fisioterapia.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Patologia nova no Volume 3: diagnóstico, projeções do raio-X, manejo até a cirurgia e as dicas para o tutor.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120" w:before="200"/>
      </w:pPr>
      <w:r>
        <w:rPr>
          <w:b/>
          <w:bCs/>
          <w:color w:val="C01275"/>
          <w:sz w:val="25"/>
          <w:szCs w:val="25"/>
        </w:rPr>
        <w:t xml:space="preserve">Caso #10 · Transfusão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Quando sai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qui 26/11, 12h · resposta 19h30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Caso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Paciente vai receber transfusão de sangue. Você faz dexametasona antes, como preparo?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Enquete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1B7A2E"/>
                <w:sz w:val="21"/>
                <w:szCs w:val="21"/>
              </w:rPr>
              <w:t xml:space="preserve">A) Não: foi retirada do preparo; se houver reação, interromper e tratar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>   ✔ certa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B) Sim, dexametasona pré-transfusional de rotina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C) Sim, dexametasona e prometazina preventivas</w:t>
            </w:r>
            <w:r>
              <w:rPr>
                <w:b/>
                <w:bCs/>
                <w:color w:val="1B7A2E"/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Resposta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A resposta é a A. A dexametasona saiu do preparo pré-transfusional. Se o paciente tiver reação transfusional, principalmente alérgica ou anafilática, a transfusão é interrompida na hora, o paciente é avaliado e a reação é tratada.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Fica para o Guia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O protocolo de tratamento das reações transfusionais, com fármacos e doses.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7E6F0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b/>
                <w:bCs/>
                <w:color w:val="3D0631"/>
                <w:sz w:val="21"/>
                <w:szCs w:val="21"/>
              </w:rPr>
              <w:t xml:space="preserve">Validação</w:t>
            </w:r>
          </w:p>
        </w:tc>
        <w:tc>
          <w:tcPr>
            <w:tcW w:type="dxa" w:w="7438"/>
            <w:tcBorders>
              <w:top w:val="single" w:color="D9B3CC" w:sz="4"/>
              <w:left w:val="single" w:color="D9B3CC" w:sz="4"/>
              <w:bottom w:val="single" w:color="D9B3CC" w:sz="4"/>
              <w:right w:val="single" w:color="D9B3CC" w:sz="4"/>
            </w:tcBorders>
            <w:shd w:fill="FFFBE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100"/>
            </w:pPr>
            <w:r>
              <w:rPr>
                <w:sz w:val="21"/>
                <w:szCs w:val="21"/>
              </w:rPr>
              <w:t xml:space="preserve">(  ) OK      (  ) Ajustar:</w:t>
            </w:r>
          </w:p>
          <w:p>
            <w:pPr>
              <w:spacing w:after="10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2026-10-28T21:52:11.869Z</dcterms:created>
  <dcterms:modified xsi:type="dcterms:W3CDTF">2026-10-28T21:52:11.870Z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