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Civu</w:t>
      </w:r>
    </w:p>
    <w:p>
      <w:pPr>
        <w:pStyle w:val="Subtitle"/>
      </w:pPr>
      <w:r>
        <w:t>Documento mestre do produto</w:t>
      </w:r>
    </w:p>
    <w:p>
      <w:r>
        <w:rPr>
          <w:b w:val="0"/>
        </w:rPr>
      </w:r>
      <w:r>
        <w:rPr>
          <w:b/>
        </w:rPr>
        <w:t>Visão, escopo, diferenciais e plano de evolução</w:t>
      </w:r>
      <w:r>
        <w:rPr>
          <w:b w:val="0"/>
        </w:rPr>
      </w:r>
    </w:p>
    <w:p>
      <w:pPr>
        <w:spacing w:line="252" w:lineRule="auto"/>
      </w:pPr>
      <w:r>
        <w:rPr>
          <w:b w:val="0"/>
          <w:sz w:val="19"/>
        </w:rPr>
        <w:t>Versão 1.0 • 29 de outubro de 2026 • Circulação entre os responsáveis pelo projeto</w:t>
      </w:r>
    </w:p>
    <w:p>
      <w:r>
        <w:drawing>
          <wp:inline xmlns:a="http://schemas.openxmlformats.org/drawingml/2006/main" xmlns:pic="http://schemas.openxmlformats.org/drawingml/2006/picture">
            <wp:extent cx="6455664" cy="4303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a6f013e-fb8b-4a6d-9e8b-ed2c8e736f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30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Este documento reúne as decisões e os estudos do projeto para orientar a análise conjunta dos fundadores e o trabalho de desenvolvimento. A Civu é a plataforma de gestão municipal integrada que queremos construir, começando por Vacaria e preparando a expansão para outros municípios.</w:t>
      </w:r>
    </w:p>
    <w:p>
      <w:r>
        <w:rPr>
          <w:b w:val="0"/>
        </w:rPr>
        <w:t>A direção escolhida é chegar à prefeitura com uma versão funcional demonstrável. O documento distingue essa ambição do estado atual do protótipo, das hipóteses comerciais e das validações necessárias para operar com dados e atos oficiais.</w:t>
      </w:r>
    </w:p>
    <w:p>
      <w:pPr>
        <w:spacing w:line="252" w:lineRule="auto"/>
      </w:pPr>
      <w:r>
        <w:rPr>
          <w:b w:val="0"/>
          <w:sz w:val="19"/>
        </w:rPr>
      </w:r>
      <w:r>
        <w:rPr>
          <w:b/>
          <w:sz w:val="19"/>
        </w:rPr>
        <w:t>Mudança de nome confirmada:</w:t>
      </w:r>
      <w:r>
        <w:rPr>
          <w:b w:val="0"/>
          <w:sz w:val="19"/>
        </w:rPr>
        <w:t xml:space="preserve"> Civu substitui ELOCIVA. A identidade acima foi fornecida pelo responsável pelo projeto. É um estudo visual; registro da marca e arquivos finais de produção continuam pendentes.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rPr>
          <w:b w:val="0"/>
        </w:rPr>
        <w:t>Esta é a base comum para o produto. Ela consolida o histórico da conversa, o protótipo disponível, os dois materiais enviados pelo irmão e a pesquisa pública sobre Vacaria. Não constitui proposta contratual, certificação de conformidade nem promessa de economia já realizada.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901"/>
        <w:gridCol w:w="8266"/>
      </w:tblGrid>
      <w:tr>
        <w:trPr>
          <w:tblHeader/>
          <w:cantSplit/>
        </w:trPr>
        <w:tc>
          <w:tcPr>
            <w:tcW w:type="dxa" w:w="1901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Natureza da informação</w:t>
            </w:r>
          </w:p>
        </w:tc>
        <w:tc>
          <w:tcPr>
            <w:tcW w:type="dxa" w:w="826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Como interpretar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Definido</w:t>
            </w:r>
          </w:p>
        </w:tc>
        <w:tc>
          <w:tcPr>
            <w:tcW w:type="dxa" w:w="826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Direção expressamente escolhida no projeto. Ainda pode exigir implementação.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Demonstrado</w:t>
            </w:r>
          </w:p>
        </w:tc>
        <w:tc>
          <w:tcPr>
            <w:tcW w:type="dxa" w:w="826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Comportamento exibido no protótipo com dados e integrações simulados.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Proposto</w:t>
            </w:r>
          </w:p>
        </w:tc>
        <w:tc>
          <w:tcPr>
            <w:tcW w:type="dxa" w:w="826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Detalhamento recomendado para tornar a direção executável; sujeito à decisão conjunta.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 validar</w:t>
            </w:r>
          </w:p>
        </w:tc>
        <w:tc>
          <w:tcPr>
            <w:tcW w:type="dxa" w:w="826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Depende de evidência, contratação, regra local, acesso ou decisão ainda inexistente.</w:t>
            </w:r>
          </w:p>
        </w:tc>
      </w:tr>
    </w:tbl>
    <w:p>
      <w:pPr>
        <w:spacing w:after="0"/>
      </w:pPr>
    </w:p>
    <w:p>
      <w:pPr>
        <w:pStyle w:val="Heading2"/>
      </w:pPr>
      <w:r>
        <w:t>Mapa de leitura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253"/>
        <w:gridCol w:w="8914"/>
      </w:tblGrid>
      <w:tr>
        <w:trPr>
          <w:tblHeader/>
          <w:cantSplit/>
        </w:trPr>
        <w:tc>
          <w:tcPr>
            <w:tcW w:type="dxa" w:w="125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Páginas</w:t>
            </w:r>
          </w:p>
        </w:tc>
        <w:tc>
          <w:tcPr>
            <w:tcW w:type="dxa" w:w="891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3 a 5</w:t>
            </w:r>
          </w:p>
        </w:tc>
        <w:tc>
          <w:tcPr>
            <w:tcW w:type="dxa" w:w="89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Visão do produto, identidade, experiência e perfis de acesso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6 a 11</w:t>
            </w:r>
          </w:p>
        </w:tc>
        <w:tc>
          <w:tcPr>
            <w:tcW w:type="dxa" w:w="89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Processos, licitações, contratos, obras, finanças, tributos e imóveis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12 a 17</w:t>
            </w:r>
          </w:p>
        </w:tc>
        <w:tc>
          <w:tcPr>
            <w:tcW w:type="dxa" w:w="89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Resultados, automação, WhatsApp, controle, integrações e arquitetura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18 a 20</w:t>
            </w:r>
          </w:p>
        </w:tc>
        <w:tc>
          <w:tcPr>
            <w:tcW w:type="dxa" w:w="89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Cobertura municipal, saúde, HelpU e entregáveis de valor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21 a 25</w:t>
            </w:r>
          </w:p>
        </w:tc>
        <w:tc>
          <w:tcPr>
            <w:tcW w:type="dxa" w:w="89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Vacaria, substituição, comparação dos estudos, preço e contratação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26 a 30</w:t>
            </w:r>
          </w:p>
        </w:tc>
        <w:tc>
          <w:tcPr>
            <w:tcW w:type="dxa" w:w="89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Fases, equipe, custos, demonstração, aceite e decisões pendentes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31 a 32</w:t>
            </w:r>
          </w:p>
        </w:tc>
        <w:tc>
          <w:tcPr>
            <w:tcW w:type="dxa" w:w="89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Fontes e critérios de uso das evidências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Para a análise conjunta:</w:t>
      </w:r>
      <w:r>
        <w:rPr>
          <w:b w:val="0"/>
        </w:rPr>
        <w:t xml:space="preserve"> revisar se a visão está correta, se o primeiro produto tem profundidade suficiente, se as dependências estão identificadas e se equipe e investimento suportam o escopo. Propostas de mudança devem indicar o trecho, o motivo, a evidência e o impacto em prazo e custo.</w:t>
      </w:r>
    </w:p>
    <w:p>
      <w:pPr>
        <w:spacing w:line="252" w:lineRule="auto"/>
      </w:pPr>
      <w:r>
        <w:rPr>
          <w:b w:val="0"/>
          <w:sz w:val="19"/>
        </w:rPr>
        <w:t>As estimativas são de planejamento. Os nomes dos órgãos e perfis indicam funções municipais, sem afirmar que esse seja o organograma exato de Vacaria.</w:t>
      </w:r>
    </w:p>
    <w:p>
      <w:r>
        <w:br w:type="page"/>
      </w:r>
    </w:p>
    <w:p>
      <w:pPr>
        <w:pStyle w:val="Heading1"/>
      </w:pPr>
      <w:r>
        <w:t>Visão e decisões centrais</w:t>
      </w:r>
    </w:p>
    <w:p>
      <w:r>
        <w:rPr>
          <w:b w:val="0"/>
        </w:rPr>
      </w:r>
      <w:r>
        <w:rPr>
          <w:b/>
        </w:rPr>
        <w:t>A Civu deve centralizar a operação da prefeitura e a relação com cidadãos, empresas e fornecedores.</w:t>
      </w:r>
      <w:r>
        <w:rPr>
          <w:b w:val="0"/>
        </w:rPr>
        <w:t xml:space="preserve"> Um atendimento precisa chegar à execução, à decisão ou ao pagamento correspondente, com responsáveis, prazos, evidências e resultados visíveis. O foco é reduzir esforço desnecessário, melhorar o serviço público e ampliar a capacidade de gestão.</w:t>
      </w:r>
    </w:p>
    <w:p>
      <w:pPr>
        <w:pStyle w:val="Heading2"/>
      </w:pPr>
      <w:r>
        <w:t>Direções já escolhidas</w:t>
      </w:r>
    </w:p>
    <w:p>
      <w:pPr>
        <w:pStyle w:val="ListBullet"/>
        <w:spacing w:after="80" w:line="259" w:lineRule="auto"/>
      </w:pPr>
      <w:r>
        <w:rPr>
          <w:b w:val="0"/>
        </w:rPr>
        <w:t>Começar em Vacaria, onde existe acesso institucional, e construir uma plataforma replicável para outros municípios.</w:t>
      </w:r>
    </w:p>
    <w:p>
      <w:pPr>
        <w:pStyle w:val="ListBullet"/>
        <w:spacing w:after="80" w:line="259" w:lineRule="auto"/>
      </w:pPr>
      <w:r>
        <w:rPr>
          <w:b w:val="0"/>
        </w:rPr>
        <w:t>Entregar uma experiência única de gestão, com módulos conectados e controle nas mãos do município.</w:t>
      </w:r>
    </w:p>
    <w:p>
      <w:pPr>
        <w:pStyle w:val="ListBullet"/>
        <w:spacing w:after="80" w:line="259" w:lineRule="auto"/>
      </w:pPr>
      <w:r>
        <w:rPr>
          <w:b w:val="0"/>
        </w:rPr>
        <w:t>Digitalizar as jornadas de pessoas físicas, pessoas jurídicas, MEIs, prestadores e fornecedores, inclusive pelo WhatsApp.</w:t>
      </w:r>
    </w:p>
    <w:p>
      <w:pPr>
        <w:pStyle w:val="ListBullet"/>
        <w:spacing w:after="80" w:line="259" w:lineRule="auto"/>
      </w:pPr>
      <w:r>
        <w:rPr>
          <w:b w:val="0"/>
        </w:rPr>
        <w:t>Automatizar tarefas e usar IA com regras, supervisão e aprovação municipal nas decisões relevantes.</w:t>
      </w:r>
    </w:p>
    <w:p>
      <w:pPr>
        <w:pStyle w:val="ListBullet"/>
        <w:spacing w:after="80" w:line="259" w:lineRule="auto"/>
      </w:pPr>
      <w:r>
        <w:rPr>
          <w:b w:val="0"/>
        </w:rPr>
        <w:t>Acompanhar orçamento, arrecadação, caixa, obras, atendimento e economia com origem verificável dos números.</w:t>
      </w:r>
    </w:p>
    <w:p>
      <w:pPr>
        <w:pStyle w:val="ListBullet"/>
        <w:spacing w:after="80" w:line="259" w:lineRule="auto"/>
      </w:pPr>
      <w:r>
        <w:rPr>
          <w:b w:val="0"/>
        </w:rPr>
        <w:t>Trabalhar com referência comercial de R$ 50 mil a R$ 70 mil mensais, a validar por escopo, custos e resultados.</w:t>
      </w:r>
    </w:p>
    <w:p>
      <w:pPr>
        <w:pStyle w:val="Heading2"/>
      </w:pPr>
      <w:r>
        <w:t>Produto primeiro</w:t>
      </w:r>
    </w:p>
    <w:p>
      <w:r>
        <w:rPr>
          <w:b w:val="0"/>
        </w:rPr>
        <w:t>A orientação mais recente substitui a estratégia de começar por um roteiro de reunião: desenvolver uma versão funcional, apresentá-la e então colher ajustes. A pesquisa interna, os dados fictícios e os ambientes de testes permitem avançar antes de obter acesso municipal. A operação real exige autorização, configuração local, migração e homologação.</w:t>
      </w:r>
    </w:p>
    <w:p>
      <w:pPr>
        <w:pStyle w:val="Heading2"/>
      </w:pPr>
      <w:r>
        <w:t>Um sistema para a operação municipal</w:t>
      </w:r>
    </w:p>
    <w:p>
      <w:r>
        <w:rPr>
          <w:b w:val="0"/>
        </w:rPr>
        <w:t>A visão final é abrangente. A entrada pode ocorrer por etapas, com substituição progressiva dos módulos existentes quando houver equivalência e segurança comprovadas. Integrações oficiais com governos, bancos e redes setoriais continuarão necessárias mesmo quando o núcleo municipal for próprio.</w:t>
      </w:r>
    </w:p>
    <w:p>
      <w:r>
        <w:rPr>
          <w:b w:val="0"/>
        </w:rPr>
      </w:r>
      <w:r>
        <w:rPr>
          <w:b/>
        </w:rPr>
        <w:t>Estado atual:</w:t>
      </w:r>
      <w:r>
        <w:rPr>
          <w:b w:val="0"/>
        </w:rPr>
        <w:t xml:space="preserve"> há um protótipo navegável com módulos conectados e simulações. Isso demonstra a experiência pretendida; não comprova um sistema de produção, autenticação real, contabilidade oficial ou integrações homologadas.</w:t>
      </w:r>
    </w:p>
    <w:p>
      <w:r>
        <w:br w:type="page"/>
      </w:r>
    </w:p>
    <w:p>
      <w:pPr>
        <w:pStyle w:val="Heading1"/>
      </w:pPr>
      <w:r>
        <w:t>Identidade e experiência de uso</w:t>
      </w:r>
    </w:p>
    <w:p>
      <w:r>
        <w:rPr>
          <w:b w:val="0"/>
        </w:rPr>
      </w:r>
      <w:r>
        <w:rPr>
          <w:b/>
        </w:rPr>
        <w:t>Nome definido:</w:t>
      </w:r>
      <w:r>
        <w:rPr>
          <w:b w:val="0"/>
        </w:rPr>
        <w:t xml:space="preserve"> Civu. </w:t>
      </w:r>
      <w:r>
        <w:rPr>
          <w:b/>
        </w:rPr>
        <w:t>Descrição:</w:t>
      </w:r>
      <w:r>
        <w:rPr>
          <w:b w:val="0"/>
        </w:rPr>
        <w:t xml:space="preserve"> Gestão municipal integrada. As frases “A cidade conectada” e “Prefeitura, cidadãos e empresas no mesmo lugar” compõem a direção de comunicação fornecida. A marca deve transmitir clareza, proximidade e confiança.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045"/>
        <w:gridCol w:w="1584"/>
        <w:gridCol w:w="6538"/>
      </w:tblGrid>
      <w:tr>
        <w:trPr>
          <w:tblHeader/>
          <w:cantSplit/>
        </w:trPr>
        <w:tc>
          <w:tcPr>
            <w:tcW w:type="dxa" w:w="2045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158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53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Aplicação proposta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Verde Cívico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#168779</w:t>
            </w:r>
          </w:p>
        </w:tc>
        <w:tc>
          <w:tcPr>
            <w:tcW w:type="dxa" w:w="653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Ações principais, identidade e estados positivos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Azul Institucional</w:t>
            </w:r>
          </w:p>
        </w:tc>
        <w:tc>
          <w:tcPr>
            <w:tcW w:type="dxa" w:w="158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#172D36</w:t>
            </w:r>
          </w:p>
        </w:tc>
        <w:tc>
          <w:tcPr>
            <w:tcW w:type="dxa" w:w="653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Texto forte, navegação e contraste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Verde Suave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#E5F3EE</w:t>
            </w:r>
          </w:p>
        </w:tc>
        <w:tc>
          <w:tcPr>
            <w:tcW w:type="dxa" w:w="653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Superfícies discretas e apoio visual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Branco Quente</w:t>
            </w:r>
          </w:p>
        </w:tc>
        <w:tc>
          <w:tcPr>
            <w:tcW w:type="dxa" w:w="158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#F7F9F8</w:t>
            </w:r>
          </w:p>
        </w:tc>
        <w:tc>
          <w:tcPr>
            <w:tcW w:type="dxa" w:w="653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Fundos e áreas de leitura</w:t>
            </w:r>
          </w:p>
        </w:tc>
      </w:tr>
    </w:tbl>
    <w:p>
      <w:pPr>
        <w:spacing w:after="0"/>
      </w:pPr>
    </w:p>
    <w:p>
      <w:pPr>
        <w:pStyle w:val="Heading2"/>
      </w:pPr>
      <w:r>
        <w:t>Navegação da gestão</w:t>
      </w:r>
    </w:p>
    <w:p>
      <w:r>
        <w:rPr>
          <w:b w:val="0"/>
        </w:rPr>
        <w:t xml:space="preserve">O menu lateral deve ter grupos recolhidos por padrão: </w:t>
      </w:r>
      <w:r>
        <w:rPr>
          <w:b/>
        </w:rPr>
        <w:t>Visão da gestão; Atendimento e processos; Finanças e tributos; Compras e contratos; Obras e território; Pessoas e serviços públicos; Inteligência e automação; Administração e integrações.</w:t>
      </w:r>
      <w:r>
        <w:rPr>
          <w:b w:val="0"/>
        </w:rPr>
        <w:t xml:space="preserve"> Cada perfil vê apenas os grupos que usa. Busca, favoritos e “Minhas tarefas” reduzem a necessidade de abrir menus.</w:t>
      </w:r>
    </w:p>
    <w:p>
      <w:pPr>
        <w:pStyle w:val="Heading2"/>
      </w:pPr>
      <w:r>
        <w:t>Navegação dos portais</w:t>
      </w:r>
    </w:p>
    <w:p>
      <w:r>
        <w:rPr>
          <w:b w:val="0"/>
        </w:rPr>
        <w:t>O portal apresenta atalhos por intenção: solicitar serviço, acompanhar processo, responder exigência, consultar tributo, acompanhar contrato e consultar informação pública. Uma pessoa pode alternar entre o próprio perfil e empresas que representa, com indicação permanente de quem está sendo representado.</w:t>
      </w:r>
    </w:p>
    <w:p>
      <w:r>
        <w:rPr>
          <w:b w:val="0"/>
        </w:rPr>
        <w:t>“Civu Gestão”, “Civu Cidadão” e “Civu Empresas” são nomes de aplicação propostos. O fornecedor pode ter uma área específica dentro do portal empresarial, sem um cadastro duplicado.</w:t>
      </w:r>
    </w:p>
    <w:p>
      <w:pPr>
        <w:pStyle w:val="Heading2"/>
      </w:pPr>
      <w:r>
        <w:t>Regras de simplicidade</w:t>
      </w:r>
    </w:p>
    <w:p>
      <w:r>
        <w:rPr>
          <w:b w:val="0"/>
        </w:rPr>
        <w:t>Formulários por etapas, linguagem comum, anexos solicitados com motivo, prazo compreensível e estado atual com próxima ação. Interface adaptada ao celular, acessibilidade por teclado e leitor de tela, contraste validado e atendimento assistido. Cor sozinha nunca informa situação.</w:t>
      </w:r>
    </w:p>
    <w:p>
      <w:r>
        <w:rPr>
          <w:b w:val="0"/>
        </w:rPr>
        <w:t>O estudo visual é referência para a evolução. Vetores finais, família tipográfica, regras de acessibilidade, domínio e disponibilidade jurídica da marca ainda precisam ser concluídos. Este documento não altera os arquivos do protótipo.</w:t>
      </w:r>
    </w:p>
    <w:p>
      <w:r>
        <w:br w:type="page"/>
      </w:r>
    </w:p>
    <w:p>
      <w:pPr>
        <w:pStyle w:val="Heading1"/>
      </w:pPr>
      <w:r>
        <w:t>Perfis de acesso e portais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28"/>
        <w:gridCol w:w="4536"/>
        <w:gridCol w:w="3902"/>
      </w:tblGrid>
      <w:tr>
        <w:trPr>
          <w:tblHeader/>
          <w:cantSplit/>
        </w:trPr>
        <w:tc>
          <w:tcPr>
            <w:tcW w:type="dxa" w:w="172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Público</w:t>
            </w:r>
          </w:p>
        </w:tc>
        <w:tc>
          <w:tcPr>
            <w:tcW w:type="dxa" w:w="453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O que acessa</w:t>
            </w:r>
          </w:p>
        </w:tc>
        <w:tc>
          <w:tcPr>
            <w:tcW w:type="dxa" w:w="390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Como comprova o acesso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Visitante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Catálogo, eventos, transparência e acompanhamento público de obras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login para informações públicas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Cidadão PF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Pedidos, documentos, tributos, imóveis e mensagens próprios</w:t>
            </w:r>
          </w:p>
        </w:tc>
        <w:tc>
          <w:tcPr>
            <w:tcW w:type="dxa" w:w="390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gov.br ou cadastro municipal verificado conforme o serviço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Empresa e MEI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Licenças, processos, certidões, tributos e obrigações aplicáveis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Pessoa identificada e vínculo de representação validado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Contador ou procurador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Demandas das pessoas e empresas autorizantes</w:t>
            </w:r>
          </w:p>
        </w:tc>
        <w:tc>
          <w:tcPr>
            <w:tcW w:type="dxa" w:w="390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Procuração ou autorização com escopo e validade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Fornecedor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Oportunidades, contratos, entregas, notas e pagamentos próprios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Identidade e poderes de representação conferidos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Servidor e gestor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Tarefas e dados da sua função e unidade</w:t>
            </w:r>
          </w:p>
        </w:tc>
        <w:tc>
          <w:tcPr>
            <w:tcW w:type="dxa" w:w="390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Conta individual, perfil e vínculo institucional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Prefeito e controle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Indicadores, alertas e evidências permitidas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Acesso por atribuição; informação restrita continua protegida</w:t>
            </w:r>
          </w:p>
        </w:tc>
      </w:tr>
    </w:tbl>
    <w:p>
      <w:pPr>
        <w:spacing w:after="0"/>
      </w:pPr>
    </w:p>
    <w:p>
      <w:pPr>
        <w:pStyle w:val="Heading2"/>
      </w:pPr>
      <w:r>
        <w:t>Identificação proporcional ao serviço</w:t>
      </w:r>
    </w:p>
    <w:p>
      <w:r>
        <w:rPr>
          <w:b w:val="0"/>
        </w:rPr>
        <w:t>A entrada com gov.br é uma direção preferencial, sujeita à adesão e à integração autorizada. Login e assinatura eletrônica são capacidades distintas. O nível exigido deve depender da operação; um cadastro com telefone confirmado não equivale automaticamente a identidade validada. [S10]</w:t>
      </w:r>
    </w:p>
    <w:p>
      <w:r>
        <w:rPr>
          <w:b w:val="0"/>
        </w:rPr>
        <w:t>O cadastro tradicional pode atender serviços compatíveis e permitir validação adicional, recuperação de conta e atendimento assistido. O sistema precisa impedir que alguém consulte processos privados de uma empresa apenas por informar seu CNPJ.</w:t>
      </w:r>
    </w:p>
    <w:p>
      <w:pPr>
        <w:pStyle w:val="Heading2"/>
      </w:pPr>
      <w:r>
        <w:t>Acesso público e sigilo</w:t>
      </w:r>
    </w:p>
    <w:p>
      <w:r>
        <w:rPr>
          <w:b w:val="0"/>
        </w:rPr>
        <w:t>Transparência e informações gerais devem ser fáceis de consultar. Denúncias, dados sociais, fiscais, pessoais e de saúde seguem tratamento próprio. A identidade de denunciante não aparece em painéis gerais. A publicação de atos precisa separar o documento administrativo da versão pública adequada.</w:t>
      </w:r>
    </w:p>
    <w:p>
      <w:r>
        <w:rPr>
          <w:b w:val="0"/>
        </w:rPr>
      </w:r>
      <w:r>
        <w:rPr>
          <w:b/>
        </w:rPr>
        <w:t>Critério de aceite:</w:t>
      </w:r>
      <w:r>
        <w:rPr>
          <w:b w:val="0"/>
        </w:rPr>
        <w:t xml:space="preserve"> provar, com usuários distintos, acesso permitido, acesso negado, delegação, revogação e expiração de representação. Trocar o perfil visual de uma demonstração não substitui esse controle no servidor.</w:t>
      </w:r>
    </w:p>
    <w:p>
      <w:r>
        <w:br w:type="page"/>
      </w:r>
    </w:p>
    <w:p>
      <w:pPr>
        <w:pStyle w:val="Heading1"/>
      </w:pPr>
      <w:r>
        <w:t>Atendimento e processos digitais</w:t>
      </w:r>
    </w:p>
    <w:p>
      <w:r>
        <w:rPr>
          <w:b w:val="0"/>
        </w:rPr>
        <w:t>O processo é o vínculo entre os módulos. Toda demanda tem identificador, interessado, assunto, localização quando aplicável, responsável atual, prazo, documentos, histórico e resultado. Pessoas e empresas acompanham a mesma informação operacional que a prefeitura utiliza, respeitando as permissões.</w:t>
      </w:r>
    </w:p>
    <w:p>
      <w:pPr>
        <w:pStyle w:val="Heading2"/>
      </w:pPr>
      <w:r>
        <w:t>Capacidades do núcleo</w:t>
      </w:r>
    </w:p>
    <w:p>
      <w:pPr>
        <w:pStyle w:val="ListBullet"/>
        <w:spacing w:after="80" w:line="259" w:lineRule="auto"/>
      </w:pPr>
      <w:r>
        <w:rPr>
          <w:b w:val="0"/>
        </w:rPr>
        <w:t>Catálogo municipal de serviços com requisitos, prazos, documentos e canais de atendimento.</w:t>
      </w:r>
    </w:p>
    <w:p>
      <w:pPr>
        <w:pStyle w:val="ListBullet"/>
        <w:spacing w:after="80" w:line="259" w:lineRule="auto"/>
      </w:pPr>
      <w:r>
        <w:rPr>
          <w:b w:val="0"/>
        </w:rPr>
        <w:t>Protocolo, memorandos, ofícios, solicitações internas, ouvidoria, e SIC e denúncias com tratamento de sigilo.</w:t>
      </w:r>
    </w:p>
    <w:p>
      <w:pPr>
        <w:pStyle w:val="ListBullet"/>
        <w:spacing w:after="80" w:line="259" w:lineRule="auto"/>
      </w:pPr>
      <w:r>
        <w:rPr>
          <w:b w:val="0"/>
        </w:rPr>
        <w:t>Formulários, tarefas, assinaturas, modelos, anexos versionados, pesquisa e comunicação vinculada ao processo.</w:t>
      </w:r>
    </w:p>
    <w:p>
      <w:pPr>
        <w:pStyle w:val="ListBullet"/>
        <w:spacing w:after="80" w:line="259" w:lineRule="auto"/>
      </w:pPr>
      <w:r>
        <w:rPr>
          <w:b w:val="0"/>
        </w:rPr>
        <w:t>Encaminhamento por assunto e território, distribuição de trabalho, exigências, devoluções justificadas e escalonamento de atraso.</w:t>
      </w:r>
    </w:p>
    <w:p>
      <w:pPr>
        <w:pStyle w:val="ListBullet"/>
        <w:spacing w:after="80" w:line="259" w:lineRule="auto"/>
      </w:pPr>
      <w:r>
        <w:rPr>
          <w:b w:val="0"/>
        </w:rPr>
        <w:t>Editor autorizado de fluxos, etapas, formulários e prazos, com versão, teste e aprovação antes da publicação.</w:t>
      </w:r>
    </w:p>
    <w:p>
      <w:pPr>
        <w:pStyle w:val="Heading2"/>
      </w:pPr>
      <w:r>
        <w:t>Exemplo de atendimento conectado</w:t>
      </w:r>
    </w:p>
    <w:p>
      <w:r>
        <w:rPr>
          <w:b w:val="0"/>
        </w:rPr>
        <w:t>Um morador registra um buraco, informa o local e anexa uma foto. O sistema identifica demandas semelhantes e encaminha o pedido. Obras verifica prioridade, equipe, material e contrato disponível. A execução produz evidência, atualiza o cidadão e alimenta o painel da gestão. A abertura do pedido não deve criar uma compra automaticamente.</w:t>
      </w:r>
    </w:p>
    <w:p>
      <w:pPr>
        <w:pStyle w:val="Heading2"/>
      </w:pPr>
      <w:r>
        <w:t>Controle do fluxo</w:t>
      </w:r>
    </w:p>
    <w:p>
      <w:r>
        <w:rPr>
          <w:b w:val="0"/>
        </w:rPr>
        <w:t>Cada etapa indica quem pode receber, executar, devolver e decidir. O sistema distingue prazo de serviço, prazo legal e previsão informada ao interessado. Calendários, suspensões e exceções precisam seguir a regra aplicável, com justificativa. O histórico registra mudanças sem apagar a decisão anterior.</w:t>
      </w:r>
    </w:p>
    <w:p>
      <w:r>
        <w:rPr>
          <w:b w:val="0"/>
        </w:rPr>
        <w:t>Os documentos do irmão reforçam uma contribuição central: acompanhar o processo inteiro e medir onde ele para. A quantidade de estados deve variar por tipo de processo. Não se deve impor o mesmo fluxo de compra a uma reclamação, licença, diária ou convênio.</w:t>
      </w:r>
    </w:p>
    <w:p>
      <w:r>
        <w:rPr>
          <w:b w:val="0"/>
        </w:rPr>
      </w:r>
      <w:r>
        <w:rPr>
          <w:b/>
        </w:rPr>
        <w:t>Indicadores:</w:t>
      </w:r>
      <w:r>
        <w:rPr>
          <w:b w:val="0"/>
        </w:rPr>
        <w:t xml:space="preserve"> tempo total, tempo de espera por unidade, prazo vencido, devoluções por motivo, resolução no primeiro atendimento e solicitações que exigiram presença física. A meta numérica depende da linha de base local.</w:t>
      </w:r>
    </w:p>
    <w:p>
      <w:r>
        <w:br w:type="page"/>
      </w:r>
    </w:p>
    <w:p>
      <w:pPr>
        <w:pStyle w:val="Heading1"/>
      </w:pPr>
      <w:r>
        <w:t>Compras e licitações</w:t>
      </w:r>
    </w:p>
    <w:p>
      <w:r>
        <w:rPr>
          <w:b w:val="0"/>
        </w:rPr>
        <w:t>A contratação deve nascer de uma necessidade formalizada e percorrer planejamento, seleção, execução e prestação de contas. O módulo precisa evitar digitação repetida, preservar as decisões e conectar compras ao orçamento, ao estoque, às obras e ao portal do fornecedor.</w:t>
      </w:r>
    </w:p>
    <w:p>
      <w:pPr>
        <w:pStyle w:val="Heading2"/>
      </w:pPr>
      <w:r>
        <w:t>Escopo funcional pretendido</w:t>
      </w:r>
    </w:p>
    <w:p>
      <w:pPr>
        <w:pStyle w:val="ListBullet"/>
        <w:spacing w:after="80" w:line="259" w:lineRule="auto"/>
      </w:pPr>
      <w:r>
        <w:rPr>
          <w:b w:val="0"/>
        </w:rPr>
        <w:t>Catálogo de itens e serviços, demandas das secretarias, consolidação e Plano de Contratações Anual quando aplicável.</w:t>
      </w:r>
    </w:p>
    <w:p>
      <w:pPr>
        <w:pStyle w:val="ListBullet"/>
        <w:spacing w:after="80" w:line="259" w:lineRule="auto"/>
      </w:pPr>
      <w:r>
        <w:rPr>
          <w:b w:val="0"/>
        </w:rPr>
        <w:t>DFD (documento de formalização da demanda), ETP (estudo técnico preliminar), termo de referência, análise de riscos, pesquisa de preços e documentos de engenharia conforme o objeto.</w:t>
      </w:r>
    </w:p>
    <w:p>
      <w:pPr>
        <w:pStyle w:val="ListBullet"/>
        <w:spacing w:after="80" w:line="259" w:lineRule="auto"/>
      </w:pPr>
      <w:r>
        <w:rPr>
          <w:b w:val="0"/>
        </w:rPr>
        <w:t>Fluxos para licitação, contratação direta e uso de atas, com justificativas, pareceres, documentos e responsáveis.</w:t>
      </w:r>
    </w:p>
    <w:p>
      <w:pPr>
        <w:pStyle w:val="ListBullet"/>
        <w:spacing w:after="80" w:line="259" w:lineRule="auto"/>
      </w:pPr>
      <w:r>
        <w:rPr>
          <w:b w:val="0"/>
        </w:rPr>
        <w:t>Controle de edital, propostas, habilitação, esclarecimentos, recursos, adjudicação, homologação e publicações.</w:t>
      </w:r>
    </w:p>
    <w:p>
      <w:pPr>
        <w:pStyle w:val="ListBullet"/>
        <w:spacing w:after="80" w:line="259" w:lineRule="auto"/>
      </w:pPr>
      <w:r>
        <w:rPr>
          <w:b w:val="0"/>
        </w:rPr>
        <w:t>Geração do contrato, designação de gestores e fiscais, saldo, vigência, alterações e vínculo financeiro.</w:t>
      </w:r>
    </w:p>
    <w:p>
      <w:pPr>
        <w:pStyle w:val="Heading2"/>
      </w:pPr>
      <w:r>
        <w:t>Automações com revisão</w:t>
      </w:r>
    </w:p>
    <w:p>
      <w:r>
        <w:rPr>
          <w:b w:val="0"/>
        </w:rPr>
        <w:t>Consolidar demandas semelhantes; sugerir reaproveitamento de catálogo; avisar sobre documentos ausentes, certidões vencendo, contratos próximos do término e possíveis compras recorrentes sem planejamento. A IA pode preparar rascunhos de DFD, ETP e TR, sempre com fontes, versão e revisão do servidor competente.</w:t>
      </w:r>
    </w:p>
    <w:p>
      <w:r>
        <w:rPr>
          <w:b w:val="0"/>
        </w:rPr>
        <w:t>Pesquisa de preços precisa preservar fonte, data, condições e comparabilidade. Não adotar regras universais de “três orçamentos”, exclusão automática de 25% ou escolha de modalidade apenas pelo valor. Alertas de possível fracionamento exigem contexto, exercício, unidade e análise humana; não são conclusão de irregularidade.</w:t>
      </w:r>
    </w:p>
    <w:p>
      <w:pPr>
        <w:pStyle w:val="Heading2"/>
      </w:pPr>
      <w:r>
        <w:t>Publicação e disputa</w:t>
      </w:r>
    </w:p>
    <w:p>
      <w:r>
        <w:rPr>
          <w:b w:val="0"/>
        </w:rPr>
        <w:t>PNCP, TCE RS e diário oficial devem receber os atos aplicáveis, com protocolo e retorno verificável. A publicação no PNCP não substitui uma sala de disputa eletrônica. Integrar uma plataforma de disputa ou construir essa capacidade é decisão de escopo ainda pendente. [S08]</w:t>
      </w:r>
    </w:p>
    <w:p>
      <w:r>
        <w:rPr>
          <w:b w:val="0"/>
        </w:rPr>
      </w:r>
      <w:r>
        <w:rPr>
          <w:b/>
        </w:rPr>
        <w:t>Primeira prova funcional:</w:t>
      </w:r>
      <w:r>
        <w:rPr>
          <w:b w:val="0"/>
        </w:rPr>
        <w:t xml:space="preserve"> uma demanda percorre instrução, aprovação, seleção simulada, contrato e publicação em ambiente apropriado. O número de envio e uma rejeição tratada ficam ligados ao processo. Em demonstração, os retornos fictícios permanecem identificados.</w:t>
      </w:r>
    </w:p>
    <w:p>
      <w:r>
        <w:br w:type="page"/>
      </w:r>
    </w:p>
    <w:p>
      <w:pPr>
        <w:pStyle w:val="Heading1"/>
      </w:pPr>
      <w:r>
        <w:t>Contratos obras e execução em campo</w:t>
      </w:r>
    </w:p>
    <w:p>
      <w:r>
        <w:rPr>
          <w:b w:val="0"/>
        </w:rPr>
        <w:t>Contratos, obras e ordens de serviço devem compartilhar fornecedor, objeto, localização, cronograma, medições, evidências e recursos. A secretaria acompanha a entrega; finanças conhece a obrigação; o cidadão vê o andamento público adequado.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28"/>
        <w:gridCol w:w="8438"/>
      </w:tblGrid>
      <w:tr>
        <w:trPr>
          <w:tblHeader/>
          <w:cantSplit/>
        </w:trPr>
        <w:tc>
          <w:tcPr>
            <w:tcW w:type="dxa" w:w="172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843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Capacidades necessárias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Contrato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Vigência, saldo, aditivos, reajustes, garantias, gestor, fiscal, ocorrências e documentos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Obra pública</w:t>
            </w:r>
          </w:p>
        </w:tc>
        <w:tc>
          <w:tcPr>
            <w:tcW w:type="dxa" w:w="843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Planejamento, orçamento de referência, projeto, cronograma físico e financeiro, marcos e mapa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Execução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Ordem de serviço, equipe, materiais, equipamento, rota, prioridade e dependências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Fiscalização</w:t>
            </w:r>
          </w:p>
        </w:tc>
        <w:tc>
          <w:tcPr>
            <w:tcW w:type="dxa" w:w="843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Diário, fotos, localização, medição, aprovação técnica, glosa e justificativas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Fornecedor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Entrega de nota e medição, resposta a exigência, atesto, previsão e situação do pagamento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Portal público</w:t>
            </w:r>
          </w:p>
        </w:tc>
        <w:tc>
          <w:tcPr>
            <w:tcW w:type="dxa" w:w="843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Obra, investimento, etapa, prazo atualizado, motivo do atraso e registros publicáveis</w:t>
            </w:r>
          </w:p>
        </w:tc>
      </w:tr>
    </w:tbl>
    <w:p>
      <w:pPr>
        <w:spacing w:after="0"/>
      </w:pPr>
    </w:p>
    <w:p>
      <w:pPr>
        <w:pStyle w:val="Heading2"/>
      </w:pPr>
      <w:r>
        <w:t>Do serviço ao pagamento</w:t>
      </w:r>
    </w:p>
    <w:p>
      <w:r>
        <w:rPr>
          <w:b w:val="0"/>
        </w:rPr>
        <w:t>A medição conferida pelo fiscal sustenta o atesto. A área competente verifica a liquidação e as retenções aplicáveis. A autoridade autoriza, a tesouraria programa e o retorno bancário confirma. “Enviado ao banco” e “pago” são estados diferentes. Uma glosa deve permitir correção e resposta, preservando o histórico.</w:t>
      </w:r>
    </w:p>
    <w:p>
      <w:pPr>
        <w:pStyle w:val="Heading2"/>
      </w:pPr>
      <w:r>
        <w:t>Campo e manutenção urbana</w:t>
      </w:r>
    </w:p>
    <w:p>
      <w:r>
        <w:rPr>
          <w:b w:val="0"/>
        </w:rPr>
        <w:t>A equipe precisa operar em vias, estradas rurais, praças e equipamentos públicos. Modo sem conexão, registro de autoria e horário, sincronização e tratamento de conflito são propostas para a versão operacional. Fotos não podem ser a única prova quando houver exigência técnica adicional.</w:t>
      </w:r>
    </w:p>
    <w:p>
      <w:r>
        <w:rPr>
          <w:b w:val="0"/>
        </w:rPr>
        <w:t>A priorização combina risco, impacto, recorrência, capacidade e recursos, com decisão municipal. Pedidos próximos podem ser agrupados sem perder o protocolo individual. Uma máquina indisponível ou falta de material deve afetar a previsão e gerar aviso ao gestor.</w:t>
      </w:r>
    </w:p>
    <w:p>
      <w:r>
        <w:rPr>
          <w:b w:val="0"/>
        </w:rPr>
      </w:r>
      <w:r>
        <w:rPr>
          <w:b/>
        </w:rPr>
        <w:t>Resultado verificável:</w:t>
      </w:r>
      <w:r>
        <w:rPr>
          <w:b w:val="0"/>
        </w:rPr>
        <w:t xml:space="preserve"> evolução física comparada à financeira, prazo, custo por serviço, retrabalho, tempo entre medição e pagamento e demandas resolvidas por região. Valores e percentuais da demonstração não representam obras reais de Vacaria.</w:t>
      </w:r>
    </w:p>
    <w:p>
      <w:r>
        <w:br w:type="page"/>
      </w:r>
    </w:p>
    <w:p>
      <w:pPr>
        <w:pStyle w:val="Heading1"/>
      </w:pPr>
      <w:r>
        <w:t>Orçamento caixa e contabilidade</w:t>
      </w:r>
    </w:p>
    <w:p>
      <w:r>
        <w:rPr>
          <w:b w:val="0"/>
        </w:rPr>
        <w:t>A gestão financeira precisa mostrar o que foi autorizado, comprometido, liquidado e pago, além do dinheiro disponível por fonte e das obrigações futuras. A Civu deve conectar a execução operacional a essa informação sem tratar saldo orçamentário como caixa livre.</w:t>
      </w:r>
    </w:p>
    <w:p>
      <w:pPr>
        <w:pStyle w:val="Heading2"/>
      </w:pPr>
      <w:r>
        <w:t>Cobertura desejada</w:t>
      </w:r>
    </w:p>
    <w:p>
      <w:pPr>
        <w:pStyle w:val="ListBullet"/>
        <w:spacing w:after="80" w:line="259" w:lineRule="auto"/>
      </w:pPr>
      <w:r>
        <w:rPr>
          <w:b w:val="0"/>
        </w:rPr>
        <w:t>PPA (Plano Plurianual), LDO (Lei de Diretrizes Orçamentárias), LOA (Lei Orçamentária Anual), dotações, fontes, créditos adicionais, reservas e acompanhamento de metas.</w:t>
      </w:r>
    </w:p>
    <w:p>
      <w:pPr>
        <w:pStyle w:val="ListBullet"/>
        <w:spacing w:after="80" w:line="259" w:lineRule="auto"/>
      </w:pPr>
      <w:r>
        <w:rPr>
          <w:b w:val="0"/>
        </w:rPr>
        <w:t>Empenhos, reforços, anulações, liquidações, retenções, ordens de pagamento e restos a pagar.</w:t>
      </w:r>
    </w:p>
    <w:p>
      <w:pPr>
        <w:pStyle w:val="ListBullet"/>
        <w:spacing w:after="80" w:line="259" w:lineRule="auto"/>
      </w:pPr>
      <w:r>
        <w:rPr>
          <w:b w:val="0"/>
        </w:rPr>
        <w:t>Programação financeira, contas bancárias, recursos vinculados, fila de exigibilidades e justificativas de exceção.</w:t>
      </w:r>
    </w:p>
    <w:p>
      <w:pPr>
        <w:pStyle w:val="ListBullet"/>
        <w:spacing w:after="80" w:line="259" w:lineRule="auto"/>
      </w:pPr>
      <w:r>
        <w:rPr>
          <w:b w:val="0"/>
        </w:rPr>
        <w:t>Receitas previstas e realizadas, conciliação, transferências, projeção de caixa e compromissos por contrato e obra.</w:t>
      </w:r>
    </w:p>
    <w:p>
      <w:pPr>
        <w:pStyle w:val="ListBullet"/>
        <w:spacing w:after="80" w:line="259" w:lineRule="auto"/>
      </w:pPr>
      <w:r>
        <w:rPr>
          <w:b w:val="0"/>
        </w:rPr>
        <w:t>Fechamentos, plano de contas, demonstrativos e remessas oficiais quando o módulo contábil próprio estiver validado.</w:t>
      </w:r>
    </w:p>
    <w:p>
      <w:pPr>
        <w:pStyle w:val="Heading2"/>
      </w:pPr>
      <w:r>
        <w:t>Transição responsável</w:t>
      </w:r>
    </w:p>
    <w:p>
      <w:r>
        <w:rPr>
          <w:b w:val="0"/>
        </w:rPr>
        <w:t>Enquanto a contabilidade própria não estiver homologada para o cenário municipal, o sistema oficial continua como fonte dos registros contábeis. A Civu pode iniciar solicitações e acompanhar retornos por integração autorizada, com conciliação. Não há equivalência entre um painel financeiro e um SIAFIC operacional.</w:t>
      </w:r>
    </w:p>
    <w:p>
      <w:r>
        <w:rPr>
          <w:b w:val="0"/>
        </w:rPr>
        <w:t>A substituição exige revisão por especialistas, migração de saldos e histórico, conferência dos relatórios, testes de fechamento e remessas aceitas. As exigências do Decreto 10.540 e das normas aplicáveis precisam orientar o projeto contábil e de controle. [S17]</w:t>
      </w:r>
    </w:p>
    <w:p>
      <w:pPr>
        <w:pStyle w:val="Heading2"/>
      </w:pPr>
      <w:r>
        <w:t>Prevenção e projeção</w:t>
      </w:r>
    </w:p>
    <w:p>
      <w:r>
        <w:rPr>
          <w:b w:val="0"/>
        </w:rPr>
        <w:t>Alertar para insuficiência projetada de caixa, concentração de vencimentos, fonte inadequada, divergência de retorno, pagamentos duplicados e atraso de atesto. Uma projeção deve mostrar período, dados disponíveis e hipóteses; o gestor precisa poder comparar cenários conservador, base e favorável.</w:t>
      </w:r>
    </w:p>
    <w:p>
      <w:r>
        <w:rPr>
          <w:b w:val="0"/>
        </w:rPr>
      </w:r>
      <w:r>
        <w:rPr>
          <w:b/>
        </w:rPr>
        <w:t>Controle crítico:</w:t>
      </w:r>
      <w:r>
        <w:rPr>
          <w:b w:val="0"/>
        </w:rPr>
        <w:t xml:space="preserve"> reservar, empenhar, liquidar, autorizar e executar pagamento são ações distintas. Correções, estornos e conciliações devem manter a trilha. Nenhuma IA movimenta dinheiro por decisão própria. A automação financeira depende de regra autorizada, segregação de funções e confirmação do banco.</w:t>
      </w:r>
    </w:p>
    <w:p>
      <w:r>
        <w:br w:type="page"/>
      </w:r>
    </w:p>
    <w:p>
      <w:pPr>
        <w:pStyle w:val="Heading1"/>
      </w:pPr>
      <w:r>
        <w:t>Tributos arrecadação e empresas</w:t>
      </w:r>
    </w:p>
    <w:p>
      <w:r>
        <w:rPr>
          <w:b w:val="0"/>
        </w:rPr>
        <w:t>O produto deve tornar o atendimento tributário mais simples e melhorar a qualidade cadastral e a cobrança, respeitando a competência municipal. O contribuinte acompanha exigências, decisões, guias e pagamentos; a prefeitura conhece origem, regra e situação de cada lançamento.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074"/>
        <w:gridCol w:w="8093"/>
      </w:tblGrid>
      <w:tr>
        <w:trPr>
          <w:tblHeader/>
          <w:cantSplit/>
        </w:trPr>
        <w:tc>
          <w:tcPr>
            <w:tcW w:type="dxa" w:w="207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809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Escopo pretendido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IPTU e cadastro</w:t>
            </w:r>
          </w:p>
        </w:tc>
        <w:tc>
          <w:tcPr>
            <w:tcW w:type="dxa" w:w="809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Imóvel, contribuinte, características, lançamento, isenções, revisão e histórico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ITBI</w:t>
            </w:r>
          </w:p>
        </w:tc>
        <w:tc>
          <w:tcPr>
            <w:tcW w:type="dxa" w:w="809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Declaração, documentos, representação, análise, avaliação fundamentada, guia e contestação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ISS e NFS e</w:t>
            </w:r>
          </w:p>
        </w:tc>
        <w:tc>
          <w:tcPr>
            <w:tcW w:type="dxa" w:w="809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Cadastros, serviços, documentos fiscais e integração ao ambiente aplicável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Taxas e licenças</w:t>
            </w:r>
          </w:p>
        </w:tc>
        <w:tc>
          <w:tcPr>
            <w:tcW w:type="dxa" w:w="809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Alvarás, certidões, fiscalização e cobranças previstas na regra local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Dívida ativa</w:t>
            </w:r>
          </w:p>
        </w:tc>
        <w:tc>
          <w:tcPr>
            <w:tcW w:type="dxa" w:w="809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Inscrição, cobrança, parcelamento, suspensão, defesa, baixa e integração autorizada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PJ MEI e Simples</w:t>
            </w:r>
          </w:p>
        </w:tc>
        <w:tc>
          <w:tcPr>
            <w:tcW w:type="dxa" w:w="809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Representação, regime cadastral, demandas municipais e acesso aos serviços pertinentes</w:t>
            </w:r>
          </w:p>
        </w:tc>
      </w:tr>
    </w:tbl>
    <w:p>
      <w:pPr>
        <w:spacing w:after="0"/>
      </w:pPr>
    </w:p>
    <w:p>
      <w:pPr>
        <w:pStyle w:val="Heading2"/>
      </w:pPr>
      <w:r>
        <w:t>Motor tributário e mudanças de regra</w:t>
      </w:r>
    </w:p>
    <w:p>
      <w:r>
        <w:rPr>
          <w:b w:val="0"/>
        </w:rPr>
        <w:t>Parâmetros devem ser versionados por vigência, município e fundamento. A reforma tributária exige acompanhar obrigações, leiautes e períodos de transição. O sistema não deve congelar regras atuais em telas ou substituir os ambientes federais de apuração do MEI e do Simples por uma interpretação própria. [S12]</w:t>
      </w:r>
    </w:p>
    <w:p>
      <w:r>
        <w:rPr>
          <w:b w:val="0"/>
        </w:rPr>
        <w:t>A NFS e nacional exige implementação conforme documentação e condições de acesso. Consultar, emitir, cancelar e compartilhar dados são operações diferentes; cada uma depende de autorização e capacidade efetiva do conector. [S09]</w:t>
      </w:r>
    </w:p>
    <w:p>
      <w:pPr>
        <w:pStyle w:val="Heading2"/>
      </w:pPr>
      <w:r>
        <w:t>Automações e arrecadação</w:t>
      </w:r>
    </w:p>
    <w:p>
      <w:r>
        <w:rPr>
          <w:b w:val="0"/>
        </w:rPr>
        <w:t>Avisos de vencimento, lembretes de exigências, conciliação de guias e triagem de inconsistências ajudam a reduzir trabalho manual. Divergências cadastrais devem abrir revisão com evidências e possibilidade de correção. Arrecadação adicional precisa ser medida sobre uma base comparável, separando mudanças legais, sazonalidade e ações da Civu.</w:t>
      </w:r>
    </w:p>
    <w:p>
      <w:r>
        <w:rPr>
          <w:b w:val="0"/>
        </w:rPr>
      </w:r>
      <w:r>
        <w:rPr>
          <w:b/>
        </w:rPr>
        <w:t>Limite do objetivo econômico:</w:t>
      </w:r>
      <w:r>
        <w:rPr>
          <w:b w:val="0"/>
        </w:rPr>
        <w:t xml:space="preserve"> aumentar arrecadação regular por melhor atendimento e informação, sem inventar débitos ou usar avaliações automáticas como decisão tributária definitiva. Projeção de receita não é receita realizada.</w:t>
      </w:r>
    </w:p>
    <w:p>
      <w:r>
        <w:br w:type="page"/>
      </w:r>
    </w:p>
    <w:p>
      <w:pPr>
        <w:pStyle w:val="Heading1"/>
      </w:pPr>
      <w:r>
        <w:t>Cadastro territorial e observatório imobiliário</w:t>
      </w:r>
    </w:p>
    <w:p>
      <w:r>
        <w:rPr>
          <w:b w:val="0"/>
        </w:rPr>
        <w:t xml:space="preserve">A contribuição do setor imobiliário é criar informação de mercado mais consistente e útil para planejamento, fiscalização e atendimento. A proposta é um </w:t>
      </w:r>
      <w:r>
        <w:rPr>
          <w:b/>
        </w:rPr>
        <w:t>observatório imobiliário com referência técnica e adesão voluntária</w:t>
      </w:r>
      <w:r>
        <w:rPr>
          <w:b w:val="0"/>
        </w:rPr>
        <w:t>, conectado ao cadastro territorial, aos processos de ITBI e ao licenciamento.</w:t>
      </w:r>
    </w:p>
    <w:p>
      <w:pPr>
        <w:pStyle w:val="Heading2"/>
      </w:pPr>
      <w:r>
        <w:t>Quatro informações que precisam permanecer distintas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102"/>
        <w:gridCol w:w="8064"/>
      </w:tblGrid>
      <w:tr>
        <w:trPr>
          <w:tblHeader/>
          <w:cantSplit/>
        </w:trPr>
        <w:tc>
          <w:tcPr>
            <w:tcW w:type="dxa" w:w="210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  <w:tc>
          <w:tcPr>
            <w:tcW w:type="dxa" w:w="806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Uso e cuidado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Preço anunciado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Oferta e expectativa do vendedor; não comprova transação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Preço de transação</w:t>
            </w:r>
          </w:p>
        </w:tc>
        <w:tc>
          <w:tcPr>
            <w:tcW w:type="dxa" w:w="806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Negócio efetivo, quando obtido de fonte lícita e confiável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Avaliação individual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Estimativa técnica para um imóvel, com método e responsabilidade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Valor tributário</w:t>
            </w:r>
          </w:p>
        </w:tc>
        <w:tc>
          <w:tcPr>
            <w:tcW w:type="dxa" w:w="806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Apuração pela regra vigente e procedimento municipal aplicável</w:t>
            </w:r>
          </w:p>
        </w:tc>
      </w:tr>
    </w:tbl>
    <w:p>
      <w:pPr>
        <w:spacing w:after="0"/>
      </w:pPr>
    </w:p>
    <w:p>
      <w:r>
        <w:rPr>
          <w:b w:val="0"/>
        </w:rPr>
        <w:t>O FipeZap é uma referência metodológica de acompanhamento de preços anunciados. Isso não demonstra cobertura de Vacaria nem fornece, por si, uma tabela oficial de negócios realizados. [S13]</w:t>
      </w:r>
    </w:p>
    <w:p>
      <w:pPr>
        <w:pStyle w:val="Heading2"/>
      </w:pPr>
      <w:r>
        <w:t>Entregas propostas</w:t>
      </w:r>
    </w:p>
    <w:p>
      <w:r>
        <w:rPr>
          <w:b w:val="0"/>
        </w:rPr>
        <w:t>Mapa por região e tipologia; comparáveis por área e características; faixas de valor; evolução temporal; quantidade de observações; fonte e data; indicador de confiança; divergências que merecem análise. Amostras insuficientes devem impedir conclusões fortes. Validar o método com dados separados dos usados para ajustá-lo e revisão profissional.</w:t>
      </w:r>
    </w:p>
    <w:p>
      <w:r>
        <w:rPr>
          <w:b w:val="0"/>
        </w:rPr>
        <w:t>A ferramenta iniciada para a imobiliária pode ser avaliada para reaproveitamento, com revisão de qualidade, direitos sobre dados e independência metodológica. A base não deve refletir apenas a carteira de uma empresa. Imobiliárias podem colaborar voluntariamente e consultar informações agregadas, sem imposição de preço ou comissão.</w:t>
      </w:r>
    </w:p>
    <w:p>
      <w:pPr>
        <w:pStyle w:val="Heading2"/>
      </w:pPr>
      <w:r>
        <w:t>Uso público e tributário</w:t>
      </w:r>
    </w:p>
    <w:p>
      <w:r>
        <w:rPr>
          <w:b w:val="0"/>
        </w:rPr>
        <w:t>O cadastro deve conectar inscrição municipal, lote, uso, zoneamento, licenças, obras e histórico. A integração SINTER e CIB trata identificação e compartilhamento cadastral, não um preço obrigatório. A Receita indica janeiro de 2027 para a obrigatoriedade do CIB nos demais imóveis fora das capitais; o estágio de Vacaria precisa ser confirmado. [S11]</w:t>
      </w:r>
    </w:p>
    <w:p>
      <w:r>
        <w:rPr>
          <w:b w:val="0"/>
        </w:rPr>
        <w:t>O CTN atualizado pela LC 227/2026 exige atenção aos critérios técnicos, à divulgação e à contestação na avaliação do ITBI. O observatório apoia esse trabalho, mas não substitui o procedimento aplicável. [S12]</w:t>
      </w:r>
    </w:p>
    <w:p>
      <w:r>
        <w:br w:type="page"/>
      </w:r>
    </w:p>
    <w:p>
      <w:pPr>
        <w:pStyle w:val="Heading1"/>
      </w:pPr>
      <w:r>
        <w:t>Painel do prefeito e medição de resultados</w:t>
      </w:r>
    </w:p>
    <w:p>
      <w:r>
        <w:rPr>
          <w:b w:val="0"/>
        </w:rPr>
        <w:t>O painel deve responder onde estão os recursos, o que está sendo entregue, o que está atrasado e qual decisão precisa ser tomada. Cada indicador precisa levar à sua origem, com data de atualização, secretaria responsável e distinção entre realizado e projetado.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045"/>
        <w:gridCol w:w="8122"/>
      </w:tblGrid>
      <w:tr>
        <w:trPr>
          <w:tblHeader/>
          <w:cantSplit/>
        </w:trPr>
        <w:tc>
          <w:tcPr>
            <w:tcW w:type="dxa" w:w="2045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812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Indicadores e decisões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Orçamento e caixa</w:t>
            </w:r>
          </w:p>
        </w:tc>
        <w:tc>
          <w:tcPr>
            <w:tcW w:type="dxa" w:w="81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Execução por fonte, compromissos futuros, disponibilidade e risco de insuficiência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Arrecadação</w:t>
            </w:r>
          </w:p>
        </w:tc>
        <w:tc>
          <w:tcPr>
            <w:tcW w:type="dxa" w:w="81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Previsto e realizado, sazonalidade, inadimplência e cenário projetado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Obras e serviços</w:t>
            </w:r>
          </w:p>
        </w:tc>
        <w:tc>
          <w:tcPr>
            <w:tcW w:type="dxa" w:w="81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Avanço físico e financeiro, atraso, medição pendente e capacidade das equipes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Atendimento</w:t>
            </w:r>
          </w:p>
        </w:tc>
        <w:tc>
          <w:tcPr>
            <w:tcW w:type="dxa" w:w="81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Tempo, estoque de processos, devoluções, resolução e necessidade de presença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Compras e contratos</w:t>
            </w:r>
          </w:p>
        </w:tc>
        <w:tc>
          <w:tcPr>
            <w:tcW w:type="dxa" w:w="81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Prazo da contratação, vigências, entregas, saldo e fila de pagamentos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Economia e eficiência</w:t>
            </w:r>
          </w:p>
        </w:tc>
        <w:tc>
          <w:tcPr>
            <w:tcW w:type="dxa" w:w="81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Despesa evitada comprovada, custo por serviço e horas de trabalho liberadas</w:t>
            </w:r>
          </w:p>
        </w:tc>
      </w:tr>
    </w:tbl>
    <w:p>
      <w:pPr>
        <w:spacing w:after="0"/>
      </w:pPr>
    </w:p>
    <w:p>
      <w:pPr>
        <w:pStyle w:val="Heading2"/>
      </w:pPr>
      <w:r>
        <w:t>Como comprovar retorno</w:t>
      </w:r>
    </w:p>
    <w:p>
      <w:r>
        <w:rPr>
          <w:b w:val="0"/>
        </w:rPr>
        <w:t>Registrar a situação anterior, a fonte do dado, o período, a ação executada e o resultado observado. Comparar serviços equivalentes e explicar efeitos externos. O relatório mensal deve ser revisável por finanças e controle interno, com evidências ligadas aos processos.</w:t>
      </w:r>
    </w:p>
    <w:p>
      <w:r>
        <w:rPr>
          <w:b w:val="0"/>
        </w:rPr>
      </w:r>
      <w:r>
        <w:rPr>
          <w:b/>
        </w:rPr>
        <w:t>Benefício financeiro líquido do período = despesas efetivamente reduzidas + receita adicional atribuível comprovada − custo incremental total.</w:t>
      </w:r>
      <w:r>
        <w:rPr>
          <w:b w:val="0"/>
        </w:rPr>
        <w:t xml:space="preserve"> O custo inclui assinatura, implantação alocada, integrações, uso variável, operação adicional e eventual coexistência de contratos.</w:t>
      </w:r>
    </w:p>
    <w:p>
      <w:r>
        <w:rPr>
          <w:b w:val="0"/>
        </w:rPr>
        <w:t>Horas liberadas são ganho de capacidade. Só viram redução de caixa quando houver despesa efetivamente evitada. Ganho do comércio local, satisfação e redução de deslocamentos devem aparecer em indicadores próprios, sem serem somados automaticamente à economia da prefeitura.</w:t>
      </w:r>
    </w:p>
    <w:p>
      <w:pPr>
        <w:pStyle w:val="Heading2"/>
      </w:pPr>
      <w:r>
        <w:t>Alertas e projeções</w:t>
      </w:r>
    </w:p>
    <w:p>
      <w:r>
        <w:rPr>
          <w:b w:val="0"/>
        </w:rPr>
        <w:t>Mostrar poucas prioridades, com motivo, impacto, responsável e ação sugerida. Projeções devem indicar hipótese e incerteza. “Risco de atraso” é diferente de atraso confirmado; preço estimado de compra é diferente de economia realizada. Um mesmo benefício não pode ser contado no módulo, no relatório mensal e novamente como resultado independente.</w:t>
      </w:r>
    </w:p>
    <w:p>
      <w:r>
        <w:br w:type="page"/>
      </w:r>
    </w:p>
    <w:p>
      <w:pPr>
        <w:pStyle w:val="Heading1"/>
      </w:pPr>
      <w:r>
        <w:t>Automação e inteligência artificial</w:t>
      </w:r>
    </w:p>
    <w:p>
      <w:r>
        <w:rPr>
          <w:b w:val="0"/>
        </w:rPr>
        <w:t>A central reúne regras preventivas, sugestões e comunicação, com controle do município. O objetivo é tirar trabalho repetitivo das equipes e reduzir esquecimentos, mantendo identificável quem decidiu e por qual fundamento.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656"/>
        <w:gridCol w:w="4061"/>
        <w:gridCol w:w="4450"/>
      </w:tblGrid>
      <w:tr>
        <w:trPr>
          <w:tblHeader/>
          <w:cantSplit/>
        </w:trPr>
        <w:tc>
          <w:tcPr>
            <w:tcW w:type="dxa" w:w="165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4061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Comportamento proposto</w:t>
            </w:r>
          </w:p>
        </w:tc>
        <w:tc>
          <w:tcPr>
            <w:tcW w:type="dxa" w:w="4450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Informar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Executa regra aprovada e registra o evento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Aviso interno de prazo ou certidão próxima do vencimento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Sugerir</w:t>
            </w:r>
          </w:p>
        </w:tc>
        <w:tc>
          <w:tcPr>
            <w:tcW w:type="dxa" w:w="406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Prepara recomendação e evidências</w:t>
            </w:r>
          </w:p>
        </w:tc>
        <w:tc>
          <w:tcPr>
            <w:tcW w:type="dxa" w:w="445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Encaminhamento, documento faltante ou comparação de preços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Aguardar aprovação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Só executa após decisão de perfil habilitado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Resposta ao cidadão ou documento administrativo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Ato reservado</w:t>
            </w:r>
          </w:p>
        </w:tc>
        <w:tc>
          <w:tcPr>
            <w:tcW w:type="dxa" w:w="406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Exige competência e controles específicos</w:t>
            </w:r>
          </w:p>
        </w:tc>
        <w:tc>
          <w:tcPr>
            <w:tcW w:type="dxa" w:w="445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Lançamento tributário, decisão de licitação ou pagamento</w:t>
            </w:r>
          </w:p>
        </w:tc>
      </w:tr>
    </w:tbl>
    <w:p>
      <w:pPr>
        <w:spacing w:after="0"/>
      </w:pPr>
    </w:p>
    <w:p>
      <w:pPr>
        <w:pStyle w:val="Heading2"/>
      </w:pPr>
      <w:r>
        <w:t>Aplicações previstas</w:t>
      </w:r>
    </w:p>
    <w:p>
      <w:r>
        <w:rPr>
          <w:b w:val="0"/>
        </w:rPr>
        <w:t>Triagem de solicitações, identificação de pedidos semelhantes, resumo de processo, busca na base normativa, rascunhos de respostas e documentos, conferência assistida de anexos e alertas sobre orçamento, contratos, obras e atendimento. O servidor deve ver fontes e poder corrigir ou rejeitar a sugestão.</w:t>
      </w:r>
    </w:p>
    <w:p>
      <w:pPr>
        <w:pStyle w:val="Heading2"/>
      </w:pPr>
      <w:r>
        <w:t>Regras de funcionamento</w:t>
      </w:r>
    </w:p>
    <w:p>
      <w:pPr>
        <w:pStyle w:val="ListBullet"/>
        <w:spacing w:after="80" w:line="259" w:lineRule="auto"/>
      </w:pPr>
      <w:r>
        <w:rPr>
          <w:b w:val="0"/>
        </w:rPr>
        <w:t>Base de conhecimento aprovada, documentos com versão e regra municipal identificada.</w:t>
      </w:r>
    </w:p>
    <w:p>
      <w:pPr>
        <w:pStyle w:val="ListBullet"/>
        <w:spacing w:after="80" w:line="259" w:lineRule="auto"/>
      </w:pPr>
      <w:r>
        <w:rPr>
          <w:b w:val="0"/>
        </w:rPr>
        <w:t>Dados acessíveis à IA limitados às permissões do usuário e à finalidade da tarefa.</w:t>
      </w:r>
    </w:p>
    <w:p>
      <w:pPr>
        <w:pStyle w:val="ListBullet"/>
        <w:spacing w:after="80" w:line="259" w:lineRule="auto"/>
      </w:pPr>
      <w:r>
        <w:rPr>
          <w:b w:val="0"/>
        </w:rPr>
        <w:t>Registro da sugestão, fontes utilizadas, aprovação ou rejeição e versão da automação.</w:t>
      </w:r>
    </w:p>
    <w:p>
      <w:pPr>
        <w:pStyle w:val="ListBullet"/>
        <w:spacing w:after="80" w:line="259" w:lineRule="auto"/>
      </w:pPr>
      <w:r>
        <w:rPr>
          <w:b w:val="0"/>
        </w:rPr>
        <w:t>Limites de consumo, fila de revisão, monitoramento de falhas e opção de suspender uma regra.</w:t>
      </w:r>
    </w:p>
    <w:p>
      <w:pPr>
        <w:pStyle w:val="ListBullet"/>
        <w:spacing w:after="80" w:line="259" w:lineRule="auto"/>
      </w:pPr>
      <w:r>
        <w:rPr>
          <w:b w:val="0"/>
        </w:rPr>
        <w:t>Proteção contra instruções maliciosas em anexos, resultados externos ou mensagens recebidas.</w:t>
      </w:r>
    </w:p>
    <w:p>
      <w:pPr>
        <w:pStyle w:val="Heading2"/>
      </w:pPr>
      <w:r>
        <w:t>Critério de qualidade</w:t>
      </w:r>
    </w:p>
    <w:p>
      <w:r>
        <w:rPr>
          <w:b w:val="0"/>
        </w:rPr>
        <w:t>Testar com casos corretos, incompletos, ambíguos e adversariais. Medir acerto, omissão, respostas sem evidência e retrabalho. Quando faltar informação, a IA pede complementação ou encaminha a uma pessoa. Não inventa parecer, fundamento legal, dado de cidadão ou confirmação de envio.</w:t>
      </w:r>
    </w:p>
    <w:p>
      <w:r>
        <w:rPr>
          <w:b w:val="0"/>
        </w:rPr>
        <w:t>A prefeitura aprova a política de automação. A presença de IA não transforma o sistema em autoridade para conceder benefício, negar direito, contratar ou movimentar recursos sem os controles próprios.</w:t>
      </w:r>
    </w:p>
    <w:p>
      <w:r>
        <w:br w:type="page"/>
      </w:r>
    </w:p>
    <w:p>
      <w:pPr>
        <w:pStyle w:val="Heading1"/>
      </w:pPr>
      <w:r>
        <w:t>WhatsApp e comunicação com o cidadão</w:t>
      </w:r>
    </w:p>
    <w:p>
      <w:r>
        <w:rPr>
          <w:b w:val="0"/>
        </w:rPr>
        <w:t>O WhatsApp deve ser um canal efetivo de atendimento: orientar, iniciar pedido, fornecer protocolo, avisar sobre exigência, receber complementos compatíveis e permitir acompanhamento. A conversa precisa estar vinculada ao processo, com possibilidade de transferência para atendente.</w:t>
      </w:r>
    </w:p>
    <w:p>
      <w:pPr>
        <w:pStyle w:val="Heading2"/>
      </w:pPr>
      <w:r>
        <w:t>Jornada pretendida</w:t>
      </w:r>
    </w:p>
    <w:p>
      <w:r>
        <w:rPr>
          <w:b w:val="0"/>
        </w:rPr>
        <w:t>O cidadão descreve a necessidade em linguagem simples. O assistente identifica o serviço, coleta o mínimo necessário e informa como validar a identidade quando a operação exigir. Após o registro, acompanha o andamento e recebe notificações conforme sua preferência. Assuntos privados usam autenticação adequada e links seguros.</w:t>
      </w:r>
    </w:p>
    <w:p>
      <w:pPr>
        <w:pStyle w:val="Heading2"/>
      </w:pPr>
      <w:r>
        <w:t>Controle municipal</w:t>
      </w:r>
    </w:p>
    <w:p>
      <w:r>
        <w:rPr>
          <w:b w:val="0"/>
        </w:rPr>
        <w:t>A prefeitura administra número oficial, perfis, fila, horários, modelos de mensagem, regras de encaminhamento e aprovação. O atendente vê o histórico permitido e o motivo da transferência. A resposta deve ser coerente com o portal, sem prometer uma data que o setor executor não confirmou.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232"/>
        <w:gridCol w:w="7934"/>
      </w:tblGrid>
      <w:tr>
        <w:trPr>
          <w:tblHeader/>
          <w:cantSplit/>
        </w:trPr>
        <w:tc>
          <w:tcPr>
            <w:tcW w:type="dxa" w:w="223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793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Comunicação esperada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Solicitação registrada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Protocolo, resumo e próximo passo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Documento pendente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 que falta, motivo, prazo aplicável e canal para responder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Serviço programado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Previsão e condição relevante para a execução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Mudança ou atraso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Situação real e nova orientação validada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Conclusão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Resultado, evidência acessível e possibilidade de avaliação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Falha de entrega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Registro de erro e alternativa de contato autorizada</w:t>
            </w:r>
          </w:p>
        </w:tc>
      </w:tr>
    </w:tbl>
    <w:p>
      <w:pPr>
        <w:spacing w:after="0"/>
      </w:pPr>
    </w:p>
    <w:p>
      <w:pPr>
        <w:pStyle w:val="Heading2"/>
      </w:pPr>
      <w:r>
        <w:t>Dependências do canal</w:t>
      </w:r>
    </w:p>
    <w:p>
      <w:r>
        <w:rPr>
          <w:b w:val="0"/>
        </w:rPr>
        <w:t>Usar a plataforma oficial e cumprir as políticas de mensagens, permissões de contato, modelos e atendimento humano. A política consultada exige Solution Provider para entidades governamentais na Business Platform. Custos e aprovação dependem do provedor, do mercado e do tipo de mensagem. [S07]</w:t>
      </w:r>
    </w:p>
    <w:p>
      <w:r>
        <w:rPr>
          <w:b w:val="0"/>
        </w:rPr>
        <w:t>Não foi confirmado um canal gratuito universal para prefeituras nem prazo garantido de aprovação. Essas hipóteses não entram no orçamento como fato. O número de telefone, por si só, também não comprova representação de empresa ou autorização para acessar informação fiscal.</w:t>
      </w:r>
    </w:p>
    <w:p>
      <w:r>
        <w:br w:type="page"/>
      </w:r>
    </w:p>
    <w:p>
      <w:pPr>
        <w:pStyle w:val="Heading1"/>
      </w:pPr>
      <w:r>
        <w:t>Permissões auditoria e segurança</w:t>
      </w:r>
    </w:p>
    <w:p>
      <w:r>
        <w:rPr>
          <w:b w:val="0"/>
        </w:rPr>
        <w:t>Controle municipal significa configurar responsabilidades, ver o que ocorreu e limitar o acesso. As permissões devem combinar perfil, secretaria, unidade gestora, processo, tipo de dado e poderes de representação. Ocultar um botão não protege a operação: a autorização precisa ser conferida no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958"/>
        <w:gridCol w:w="3629"/>
        <w:gridCol w:w="4579"/>
      </w:tblGrid>
      <w:tr>
        <w:trPr>
          <w:tblHeader/>
          <w:cantSplit/>
        </w:trPr>
        <w:tc>
          <w:tcPr>
            <w:tcW w:type="dxa" w:w="195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Perfil funcional</w:t>
            </w:r>
          </w:p>
        </w:tc>
        <w:tc>
          <w:tcPr>
            <w:tcW w:type="dxa" w:w="3629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Permissão típica</w:t>
            </w:r>
          </w:p>
        </w:tc>
        <w:tc>
          <w:tcPr>
            <w:tcW w:type="dxa" w:w="4579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Limite principal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Atendimento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Registrar e orientar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consultar dados privados fora da atribuição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Responsável técnico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Analisar e executar etapa</w:t>
            </w:r>
          </w:p>
        </w:tc>
        <w:tc>
          <w:tcPr>
            <w:tcW w:type="dxa" w:w="457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aprovar atos de outra competência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Fiscal de contrato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Conferir entrega e atestar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confirmar pagamento bancário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Contabilidade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Registrar liquidação e execução contábil</w:t>
            </w:r>
          </w:p>
        </w:tc>
        <w:tc>
          <w:tcPr>
            <w:tcW w:type="dxa" w:w="457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Conforme competência e documentação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Ordenador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Autorizar atos e despesas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 regras de segregação e justificativa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Tesouraria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Programar e executar pagamento</w:t>
            </w:r>
          </w:p>
        </w:tc>
        <w:tc>
          <w:tcPr>
            <w:tcW w:type="dxa" w:w="457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 autorização e retorno conciliado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Controle e auditoria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Consultar evidências e registrar achados</w:t>
            </w:r>
          </w:p>
        </w:tc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reescrever o histórico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Administrador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Configurar acessos e parâmetros</w:t>
            </w:r>
          </w:p>
        </w:tc>
        <w:tc>
          <w:tcPr>
            <w:tcW w:type="dxa" w:w="457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Sem poder apagar trilhas ou acessar tudo por padrão</w:t>
            </w:r>
          </w:p>
        </w:tc>
      </w:tr>
    </w:tbl>
    <w:p>
      <w:pPr>
        <w:spacing w:after="0"/>
      </w:pPr>
    </w:p>
    <w:p>
      <w:pPr>
        <w:pStyle w:val="Heading2"/>
      </w:pPr>
      <w:r>
        <w:t>Histórico verificável</w:t>
      </w:r>
    </w:p>
    <w:p>
      <w:r>
        <w:rPr>
          <w:b w:val="0"/>
        </w:rPr>
        <w:t>Registrar autor, data e hora, ação, objeto, valor anterior e posterior, justificativa, aprovação e origem do evento. Alterações de regra e acesso são auditadas. Correções acrescentam eventos; não devem apagar evidências. Um encadeamento de hashes ou uma tabela protegida, isoladamente, não garante inviolabilidade contra todos os administradores.</w:t>
      </w:r>
    </w:p>
    <w:p>
      <w:pPr>
        <w:pStyle w:val="Heading2"/>
      </w:pPr>
      <w:r>
        <w:t>Requisitos de operação</w:t>
      </w:r>
    </w:p>
    <w:p>
      <w:r>
        <w:rPr>
          <w:b w:val="0"/>
        </w:rPr>
        <w:t>Contas individuais; autenticação reforçada para ações privilegiadas; revisão e revogação de acessos; criptografia; cópias de segurança; testes de restauração; proteção de anexos; retenção documental; registro de incidentes; monitoramento e continuidade. Metas de disponibilidade, recuperação e suporte precisam ser contratadas e testadas.</w:t>
      </w:r>
    </w:p>
    <w:p>
      <w:r>
        <w:rPr>
          <w:b w:val="0"/>
        </w:rPr>
        <w:t>Separar dados de municípios e unidades conforme as competências. Dados de saúde e assistência social exigem restrição específica. O município governa o tratamento público; a Civu deve documentar seu papel, subcontratados e operações. O compartilhamento com empresas privadas precisa de fundamento e finalidade próprios. [S14]</w:t>
      </w:r>
    </w:p>
    <w:p>
      <w:r>
        <w:br w:type="page"/>
      </w:r>
    </w:p>
    <w:p>
      <w:pPr>
        <w:pStyle w:val="Heading1"/>
      </w:pPr>
      <w:r>
        <w:t>Central de integrações</w:t>
      </w:r>
    </w:p>
    <w:p>
      <w:r>
        <w:rPr>
          <w:b w:val="0"/>
        </w:rPr>
        <w:t>A central deve mostrar conexão, responsável, ambiente, última atualização, pendências, falhas e evidências de envio e retorno. “Conectado” não significa que todas as operações de uma instituição estejam disponíveis. Cada capacidade precisa de acesso, contrato de dados e teste próprios.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699"/>
        <w:gridCol w:w="3960"/>
        <w:gridCol w:w="4507"/>
      </w:tblGrid>
      <w:tr>
        <w:trPr>
          <w:tblHeader/>
          <w:cantSplit/>
        </w:trPr>
        <w:tc>
          <w:tcPr>
            <w:tcW w:type="dxa" w:w="1699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3960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Finalidade pretendida</w:t>
            </w:r>
          </w:p>
        </w:tc>
        <w:tc>
          <w:tcPr>
            <w:tcW w:type="dxa" w:w="4507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Condição para produção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gov.br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Identificação; assinatura em integração separada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Adesão, credenciais e níveis exigidos por operação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PNCP</w:t>
            </w:r>
          </w:p>
        </w:tc>
        <w:tc>
          <w:tcPr>
            <w:tcW w:type="dxa" w:w="396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Publicação e consulta de atos</w:t>
            </w:r>
          </w:p>
        </w:tc>
        <w:tc>
          <w:tcPr>
            <w:tcW w:type="dxa" w:w="450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Credenciamento, leiaute, protocolo e retorno conferidos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TCE RS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LicitaCon e remessas aplicáveis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Mapeamento oficial, responsáveis e validação estadual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NFS e</w:t>
            </w:r>
          </w:p>
        </w:tc>
        <w:tc>
          <w:tcPr>
            <w:tcW w:type="dxa" w:w="396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Documentos fiscais e eventos autorizados</w:t>
            </w:r>
          </w:p>
        </w:tc>
        <w:tc>
          <w:tcPr>
            <w:tcW w:type="dxa" w:w="450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Adesão, certificados e capacidade efetiva da API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Bancos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Arrecadação, pagamentos e conciliação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Convênio, contas, CNAB ou API e dupla conferência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Siconfi e SIAFIC</w:t>
            </w:r>
          </w:p>
        </w:tc>
        <w:tc>
          <w:tcPr>
            <w:tcW w:type="dxa" w:w="396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Dados contábeis e fiscais</w:t>
            </w:r>
          </w:p>
        </w:tc>
        <w:tc>
          <w:tcPr>
            <w:tcW w:type="dxa" w:w="450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Responsável técnico e validação dos demonstrativos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REDESIM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Dados e fluxos empresariais aplicáveis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Acordo, acesso e responsabilidade por atualização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SINTER e CIB</w:t>
            </w:r>
          </w:p>
        </w:tc>
        <w:tc>
          <w:tcPr>
            <w:tcW w:type="dxa" w:w="396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Identificação e dados imobiliários</w:t>
            </w:r>
          </w:p>
        </w:tc>
        <w:tc>
          <w:tcPr>
            <w:tcW w:type="dxa" w:w="450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Adesão, qualidade cadastral e proteção dos dados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eSocial SIOPE SIOPS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Obrigações dos módulos setoriais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Integração ou exportação conforme cada ambiente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Saúde e canais</w:t>
            </w:r>
          </w:p>
        </w:tc>
        <w:tc>
          <w:tcPr>
            <w:tcW w:type="dxa" w:w="396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Produto de saúde, rede autorizada e WhatsApp</w:t>
            </w:r>
          </w:p>
        </w:tc>
        <w:tc>
          <w:tcPr>
            <w:tcW w:type="dxa" w:w="450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Finalidade, autorização, escopo e regras do canal</w:t>
            </w:r>
          </w:p>
        </w:tc>
      </w:tr>
    </w:tbl>
    <w:p>
      <w:pPr>
        <w:spacing w:after="0"/>
      </w:pPr>
    </w:p>
    <w:p>
      <w:pPr>
        <w:pStyle w:val="Heading2"/>
      </w:pPr>
      <w:r>
        <w:t>Tratamento de falhas</w:t>
      </w:r>
    </w:p>
    <w:p>
      <w:r>
        <w:rPr>
          <w:b w:val="0"/>
        </w:rPr>
        <w:t>Fila de envios, tentativas controladas, prevenção de duplicidade, identificação única da operação, registro de rejeição e reprocessamento autorizado. Uma falha externa não pode aparecer como sucesso. A conciliação deve verificar se o destino recebeu e aplicou a operação, não apenas se o arquivo saiu.</w:t>
      </w:r>
    </w:p>
    <w:p>
      <w:r>
        <w:rPr>
          <w:b w:val="0"/>
        </w:rPr>
        <w:t>A integração pode ser por API, arquivo ou procedimento assistido quando esse for o meio permitido. Exportações exigidas por um tribunal não garantem uma API de escrita no ERP atual. Todos os conectores externos mostrados no protótipo permanecem simulados. [S08 a S11; S18]</w:t>
      </w:r>
    </w:p>
    <w:p>
      <w:r>
        <w:br w:type="page"/>
      </w:r>
    </w:p>
    <w:p>
      <w:pPr>
        <w:pStyle w:val="Heading1"/>
      </w:pPr>
      <w:r>
        <w:t>Arquitetura dados e autonomia municipal</w:t>
      </w:r>
    </w:p>
    <w:p>
      <w:r>
        <w:rPr>
          <w:b w:val="0"/>
        </w:rPr>
        <w:t>A proposta técnica é uma plataforma modular com dados conectados, regras versionadas e separação entre municípios. A escolha de tecnologia permanece aberta. Ferramentas citadas nos materiais anteriores são alternativas de implementação, não decisões de contratação já tomadas.</w:t>
      </w:r>
    </w:p>
    <w:p>
      <w:pPr>
        <w:pStyle w:val="Heading2"/>
      </w:pPr>
      <w:r>
        <w:t>Núcleo de informações</w:t>
      </w:r>
    </w:p>
    <w:p>
      <w:r>
        <w:rPr>
          <w:b w:val="0"/>
        </w:rPr>
        <w:t>Município, unidade gestora, secretaria, usuário, pessoa, empresa, representação, imóvel, serviço, processo, tarefa, documento e evento formam a base comum. Compras acrescentam demanda, item, contratação e contrato. Finanças acrescentam dotação, reserva, empenho, liquidação, pagamento e conciliação. Obras vinculam localização, ordem de serviço e medição.</w:t>
      </w:r>
    </w:p>
    <w:p>
      <w:r>
        <w:rPr>
          <w:b w:val="0"/>
        </w:rPr>
        <w:t>O mesmo objeto deve ser reconhecido nos módulos sem confundir cadastros legítimos distintos. A identificação da pessoa precisa preservar a finalidade de cada uso; “banco único” não significa acesso irrestrito a qualquer dado.</w:t>
      </w:r>
    </w:p>
    <w:p>
      <w:pPr>
        <w:pStyle w:val="Heading2"/>
      </w:pPr>
      <w:r>
        <w:t>Decisões de engenharia propostas</w:t>
      </w:r>
    </w:p>
    <w:p>
      <w:pPr>
        <w:pStyle w:val="ListBullet"/>
        <w:spacing w:after="80" w:line="259" w:lineRule="auto"/>
      </w:pPr>
      <w:r>
        <w:rPr>
          <w:b w:val="0"/>
        </w:rPr>
        <w:t>Aplicação modular com interfaces de integração estáveis e controle de versões.</w:t>
      </w:r>
    </w:p>
    <w:p>
      <w:pPr>
        <w:pStyle w:val="ListBullet"/>
        <w:spacing w:after="80" w:line="259" w:lineRule="auto"/>
      </w:pPr>
      <w:r>
        <w:rPr>
          <w:b w:val="0"/>
        </w:rPr>
        <w:t>Fluxos e formulários configuráveis, publicados após revisão, com histórico da versão usada em cada processo.</w:t>
      </w:r>
    </w:p>
    <w:p>
      <w:pPr>
        <w:pStyle w:val="ListBullet"/>
        <w:spacing w:after="80" w:line="259" w:lineRule="auto"/>
      </w:pPr>
      <w:r>
        <w:rPr>
          <w:b w:val="0"/>
        </w:rPr>
        <w:t>Processamento de integrações em filas, com retomada, conciliação e prevenção de efeitos duplicados.</w:t>
      </w:r>
    </w:p>
    <w:p>
      <w:pPr>
        <w:pStyle w:val="ListBullet"/>
        <w:spacing w:after="80" w:line="259" w:lineRule="auto"/>
      </w:pPr>
      <w:r>
        <w:rPr>
          <w:b w:val="0"/>
        </w:rPr>
        <w:t>Documentos com controle de versão, integridade, assinatura adequada e política de guarda.</w:t>
      </w:r>
    </w:p>
    <w:p>
      <w:pPr>
        <w:pStyle w:val="ListBullet"/>
        <w:spacing w:after="80" w:line="259" w:lineRule="auto"/>
      </w:pPr>
      <w:r>
        <w:rPr>
          <w:b w:val="0"/>
        </w:rPr>
        <w:t>Ambientes separados para desenvolvimento, testes, demonstração e operação real.</w:t>
      </w:r>
    </w:p>
    <w:p>
      <w:pPr>
        <w:pStyle w:val="ListBullet"/>
        <w:spacing w:after="80" w:line="259" w:lineRule="auto"/>
      </w:pPr>
      <w:r>
        <w:rPr>
          <w:b w:val="0"/>
        </w:rPr>
        <w:t>Monitoramento de erros, desempenho, custos de uso e qualidade dos dados.</w:t>
      </w:r>
    </w:p>
    <w:p>
      <w:pPr>
        <w:pStyle w:val="Heading2"/>
      </w:pPr>
      <w:r>
        <w:t>Portabilidade como entrega</w:t>
      </w:r>
    </w:p>
    <w:p>
      <w:r>
        <w:rPr>
          <w:b w:val="0"/>
        </w:rPr>
        <w:t>O município precisa exportar dados, documentos, vínculos, metadados e histórico em formatos documentados. O plano de saída deve incluir dicionário, conferência de completude e acesso ao acervo conforme o contrato. A saída não pode depender de uma captura de tela nem omitir anexos e assinaturas.</w:t>
      </w:r>
    </w:p>
    <w:p>
      <w:r>
        <w:rPr>
          <w:b w:val="0"/>
        </w:rPr>
        <w:t>O contrato deve distinguir propriedade do software, direitos sobre dados municipais, configurações e continuidade. Exportação não equivale a entrega do código fonte; esses direitos exigem decisão explícita. A arquitetura deve permitir expansão sem reconstruir um produto separado para cada cidade.</w:t>
      </w:r>
    </w:p>
    <w:p>
      <w:r>
        <w:br w:type="page"/>
      </w:r>
    </w:p>
    <w:p>
      <w:pPr>
        <w:pStyle w:val="Heading1"/>
      </w:pPr>
      <w:r>
        <w:t>Cobertura completa da operação municipal</w:t>
      </w:r>
    </w:p>
    <w:p>
      <w:r>
        <w:rPr>
          <w:b w:val="0"/>
        </w:rPr>
        <w:t>A ambição de gestão completa continua. Além dos módulos aprofundados, o produto precisa prever as áreas abaixo. A escolha entre desenvolvimento próprio, integração e oferta complementar será feita por profundidade e capacidade de entrega; não basta adicionar um nome ao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57"/>
        <w:gridCol w:w="4536"/>
        <w:gridCol w:w="3874"/>
      </w:tblGrid>
      <w:tr>
        <w:trPr>
          <w:tblHeader/>
          <w:cantSplit/>
        </w:trPr>
        <w:tc>
          <w:tcPr>
            <w:tcW w:type="dxa" w:w="1757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53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Cobertura a prever</w:t>
            </w:r>
          </w:p>
        </w:tc>
        <w:tc>
          <w:tcPr>
            <w:tcW w:type="dxa" w:w="387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Direção inicial proposta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Pessoas e RH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Cadastro, vínculos, folha, férias, ponto e obrigações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Integrar folha até validação própria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Educação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Vagas, unidades, transporte, alimentação e gestão escolar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Conectar dados e avaliar módulo completo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Assistência social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Atendimentos, benefícios, serviços e acompanhamento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Fluxos próprios e informação restrita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Saúde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Rede, atendimento e indicadores autorizados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Produto clínico separado e integrado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Patrimônio e estoque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Bens, inventário, responsabilidade, entradas e saídas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Conectar compra, entrega e consumo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Frota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Veículos, combustível, manutenção, uso e custo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Priorizar integração com execução em campo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Meio ambiente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Licenças, vistorias, condicionantes e fiscalização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Configurar processos e mapas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Convênios e repasses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Projetos, emendas, prazos, contrapartidas e contas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Nova frente de valor a detalhar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Cidade e serviços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Resíduos, iluminação, espaços públicos e cemitérios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Catálogo e execução por serviço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Cultura e eventos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Agenda, autorizações, equipamentos e programação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Portal público e processos internos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Jurídico e controle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Pareceres, recomendações e providências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Fluxos com responsabilidade e sigilo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Defesa civil</w:t>
            </w:r>
          </w:p>
        </w:tc>
        <w:tc>
          <w:tcPr>
            <w:tcW w:type="dxa" w:w="453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Ocorrências, áreas de risco e ações coordenadas</w:t>
            </w:r>
          </w:p>
        </w:tc>
        <w:tc>
          <w:tcPr>
            <w:tcW w:type="dxa" w:w="387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Avaliar integração e operação específica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Cobertura institucional:</w:t>
      </w:r>
      <w:r>
        <w:rPr>
          <w:b w:val="0"/>
        </w:rPr>
        <w:t xml:space="preserve"> prefeitura, fundos, autarquias, câmara e outras unidades não devem ser tratados como uma única equipe indiferenciada. A abrangência contratual e as competências de cada entidade precisam ser confirmadas.</w:t>
      </w:r>
    </w:p>
    <w:p>
      <w:r>
        <w:rPr>
          <w:b w:val="0"/>
        </w:rPr>
        <w:t>Educação, assistência, RH e gestão clínica não estão comprovados como produtos operacionais no protótipo. O plano detalhado de expansão deve indicar explicitamente o que entra em cada versão, quem valida e quanto custa manter.</w:t>
      </w:r>
    </w:p>
    <w:p>
      <w:r>
        <w:br w:type="page"/>
      </w:r>
    </w:p>
    <w:p>
      <w:pPr>
        <w:pStyle w:val="Heading1"/>
      </w:pPr>
      <w:r>
        <w:t>Saúde HelpU e desenvolvimento econômico</w:t>
      </w:r>
    </w:p>
    <w:p>
      <w:pPr>
        <w:pStyle w:val="Heading2"/>
      </w:pPr>
      <w:r>
        <w:t>Produto de saúde separado</w:t>
      </w:r>
    </w:p>
    <w:p>
      <w:r>
        <w:rPr>
          <w:b w:val="0"/>
        </w:rPr>
        <w:t>O projeto prevê outra plataforma para a rede de saúde, abrangendo UPA, UBS, postos e hospitais conforme o escopo institucional; depois, atendimento ao setor privado. Ela poderá ser apresentada em conjunto com a Civu, com proposta e responsabilidades próprias.</w:t>
      </w:r>
    </w:p>
    <w:p>
      <w:r>
        <w:rPr>
          <w:b w:val="0"/>
        </w:rPr>
        <w:t>A conexão pode compartilhar identidade, agendamentos ou solicitações autorizadas e indicadores agregados. Prontuários e dados clínicos não devem aparecer no painel geral do prefeito por padrão. Interoperabilidade com redes públicas exige requisitos e autorização específicos. Não existe neste documento preço fechado ou confirmação de que o produto clínico está pronto.</w:t>
      </w:r>
    </w:p>
    <w:p>
      <w:pPr>
        <w:pStyle w:val="Heading2"/>
      </w:pPr>
      <w:r>
        <w:t>HelpU como produto complementar</w:t>
      </w:r>
    </w:p>
    <w:p>
      <w:r>
        <w:rPr>
          <w:b w:val="0"/>
        </w:rPr>
        <w:t>A HelpU, referida anteriormente como Help Local, é uma empresa do responsável pelo projeto, já existente e ainda sem operação comercial iniciada, conforme informado. A proposta reúne empresas, prestadores, produtos, eventos e serviços da cidade para fortalecer o comércio local.</w:t>
      </w:r>
    </w:p>
    <w:p>
      <w:r>
        <w:rPr>
          <w:b w:val="0"/>
        </w:rPr>
        <w:t>A Civu pode oferecer acesso ao diretório, divulgação de oportunidades e indicadores de desenvolvimento econômico. A integração deve ser secundária na primeira apresentação da gestão municipal. A prefeitura pode ter painel próprio, sem acesso indevido a dados comerciais ou pessoais.</w:t>
      </w:r>
    </w:p>
    <w:p>
      <w:pPr>
        <w:pStyle w:val="Heading2"/>
      </w:pPr>
      <w:r>
        <w:t>Receita e adesão das empresas</w:t>
      </w:r>
    </w:p>
    <w:p>
      <w:r>
        <w:rPr>
          <w:b w:val="0"/>
        </w:rPr>
        <w:t>Foi proposta uma participação municipal de percentual X na receita recorrente paga por empresas à HelpU. O percentual, o instrumento jurídico, a classificação da receita pública e a forma de prestação de contas permanecem indefinidos. Não é um repasse informal nem uma receita já assegurada para justificar o preço da Civu.</w:t>
      </w:r>
    </w:p>
    <w:p>
      <w:r>
        <w:rPr>
          <w:b w:val="0"/>
        </w:rPr>
        <w:t>O uso do cadastro municipal para formar uma base comercial privada não está autorizado pela simples existência dos dados. Diretório público, convite, compartilhamento e adesão comercial têm finalidades diferentes. A participação paga deve ser voluntária e independente do acesso a serviços públicos, com análise de proteção de dados e das condições institucionais. [S14]</w:t>
      </w:r>
    </w:p>
    <w:p>
      <w:pPr>
        <w:pStyle w:val="Heading2"/>
      </w:pPr>
      <w:r>
        <w:t>Métricas propostas</w:t>
      </w:r>
    </w:p>
    <w:p>
      <w:r>
        <w:rPr>
          <w:b w:val="0"/>
        </w:rPr>
        <w:t>Empresas aderentes, atividade no diretório, contatos gerados, oportunidades locais, retenção de assinantes e satisfação. Movimentação comercial e receita municipal eventual precisam ser medidas separadamente. Projeções da HelpU são hipóteses de negócio, sem compor a economia garantida da prefeitura.</w:t>
      </w:r>
    </w:p>
    <w:p>
      <w:r>
        <w:br w:type="page"/>
      </w:r>
    </w:p>
    <w:p>
      <w:pPr>
        <w:pStyle w:val="Heading1"/>
      </w:pPr>
      <w:r>
        <w:t>Entregáveis que sustentam o valor</w:t>
      </w:r>
    </w:p>
    <w:p>
      <w:r>
        <w:rPr>
          <w:b w:val="0"/>
        </w:rPr>
        <w:t>O investimento se justifica pela profundidade das entregas, pela operação sustentada e pelos resultados demonstrados. Ter muitos módulos não prova que o serviço melhora. A Civu deve assumir entregas verificáveis na implantação e na operação, com provas de valor.</w:t>
      </w:r>
    </w:p>
    <w:p>
      <w:pPr>
        <w:pStyle w:val="Heading2"/>
      </w:pPr>
      <w:r>
        <w:t>Implantação</w:t>
      </w:r>
    </w:p>
    <w:p>
      <w:pPr>
        <w:pStyle w:val="ListBullet"/>
        <w:spacing w:after="80" w:line="259" w:lineRule="auto"/>
      </w:pPr>
      <w:r>
        <w:rPr>
          <w:b w:val="0"/>
        </w:rPr>
        <w:t>Configuração de serviços, formulários, fluxos, perfis e regras aprovadas pelo município.</w:t>
      </w:r>
    </w:p>
    <w:p>
      <w:pPr>
        <w:pStyle w:val="ListBullet"/>
        <w:spacing w:after="80" w:line="259" w:lineRule="auto"/>
      </w:pPr>
      <w:r>
        <w:rPr>
          <w:b w:val="0"/>
        </w:rPr>
        <w:t>Migração com inventário, amostra validada, conciliação, documentos e histórico preservados.</w:t>
      </w:r>
    </w:p>
    <w:p>
      <w:pPr>
        <w:pStyle w:val="ListBullet"/>
        <w:spacing w:after="80" w:line="259" w:lineRule="auto"/>
      </w:pPr>
      <w:r>
        <w:rPr>
          <w:b w:val="0"/>
        </w:rPr>
        <w:t>Integrações homologadas, teste de falha, plano de entrada e retorno ao estado anterior se necessário.</w:t>
      </w:r>
    </w:p>
    <w:p>
      <w:pPr>
        <w:pStyle w:val="ListBullet"/>
        <w:spacing w:after="80" w:line="259" w:lineRule="auto"/>
      </w:pPr>
      <w:r>
        <w:rPr>
          <w:b w:val="0"/>
        </w:rPr>
        <w:t>Treinamento por função, materiais simples, apoio aos servidores e orientação ao usuário externo.</w:t>
      </w:r>
    </w:p>
    <w:p>
      <w:pPr>
        <w:pStyle w:val="Heading2"/>
      </w:pPr>
      <w:r>
        <w:t>Operação recorrente</w:t>
      </w:r>
    </w:p>
    <w:p>
      <w:pPr>
        <w:pStyle w:val="ListBullet"/>
        <w:spacing w:after="80" w:line="259" w:lineRule="auto"/>
      </w:pPr>
      <w:r>
        <w:rPr>
          <w:b w:val="0"/>
        </w:rPr>
        <w:t>Hospedagem e monitoramento conforme contrato, suporte, correção de defeitos e atualização de integrações.</w:t>
      </w:r>
    </w:p>
    <w:p>
      <w:pPr>
        <w:pStyle w:val="ListBullet"/>
        <w:spacing w:after="80" w:line="259" w:lineRule="auto"/>
      </w:pPr>
      <w:r>
        <w:rPr>
          <w:b w:val="0"/>
        </w:rPr>
        <w:t>Cópias de segurança, teste periódico de restauração e acompanhamento de segurança e acesso.</w:t>
      </w:r>
    </w:p>
    <w:p>
      <w:pPr>
        <w:pStyle w:val="ListBullet"/>
        <w:spacing w:after="80" w:line="259" w:lineRule="auto"/>
      </w:pPr>
      <w:r>
        <w:rPr>
          <w:b w:val="0"/>
        </w:rPr>
        <w:t>Gestão das filas e automações, revisão da qualidade da IA e controle de consumo de mensagens e processamento.</w:t>
      </w:r>
    </w:p>
    <w:p>
      <w:pPr>
        <w:pStyle w:val="ListBullet"/>
        <w:spacing w:after="80" w:line="259" w:lineRule="auto"/>
      </w:pPr>
      <w:r>
        <w:rPr>
          <w:b w:val="0"/>
        </w:rPr>
        <w:t>Relatório mensal de serviço e resultados, com evidências, ações pendentes e responsáveis.</w:t>
      </w:r>
    </w:p>
    <w:p>
      <w:pPr>
        <w:pStyle w:val="Heading2"/>
      </w:pPr>
      <w:r>
        <w:t>Diferenciais a provar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448"/>
        <w:gridCol w:w="7718"/>
      </w:tblGrid>
      <w:tr>
        <w:trPr>
          <w:tblHeader/>
          <w:cantSplit/>
        </w:trPr>
        <w:tc>
          <w:tcPr>
            <w:tcW w:type="dxa" w:w="244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771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Prova de valor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 até a execução</w:t>
            </w:r>
          </w:p>
        </w:tc>
        <w:tc>
          <w:tcPr>
            <w:tcW w:type="dxa" w:w="771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Pedido, entrega e resultado ligados sem redigitação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Autonomia municipal</w:t>
            </w:r>
          </w:p>
        </w:tc>
        <w:tc>
          <w:tcPr>
            <w:tcW w:type="dxa" w:w="771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Equipe autorizada altera fluxo com versão e controle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WhatsApp resolutivo</w:t>
            </w:r>
          </w:p>
        </w:tc>
        <w:tc>
          <w:tcPr>
            <w:tcW w:type="dxa" w:w="771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Processo acompanhado até a resolução, com transferência humana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Caixa e contratos</w:t>
            </w:r>
          </w:p>
        </w:tc>
        <w:tc>
          <w:tcPr>
            <w:tcW w:type="dxa" w:w="771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Compromissos e previsão de pagamento conciliados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Imóveis e território</w:t>
            </w:r>
          </w:p>
        </w:tc>
        <w:tc>
          <w:tcPr>
            <w:tcW w:type="dxa" w:w="771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Dados comparáveis, confiança e revisão técnica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Convênios e custos</w:t>
            </w:r>
          </w:p>
        </w:tc>
        <w:tc>
          <w:tcPr>
            <w:tcW w:type="dxa" w:w="771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Prazos de recursos acompanhados e desperdícios identificados</w:t>
            </w:r>
          </w:p>
        </w:tc>
      </w:tr>
    </w:tbl>
    <w:p>
      <w:pPr>
        <w:spacing w:after="0"/>
      </w:pPr>
    </w:p>
    <w:p>
      <w:r>
        <w:rPr>
          <w:b w:val="0"/>
        </w:rPr>
        <w:t>Escopo de suporte, horário, disponibilidade, volumes de uso, atualização legal e capacidade de evolução precisam ser definidos no pacote. Desenvolvimento ilimitado e custos externos ilimitados não podem ficar implícitos na mensalidade.</w:t>
      </w:r>
    </w:p>
    <w:p>
      <w:r>
        <w:br w:type="page"/>
      </w:r>
    </w:p>
    <w:p>
      <w:pPr>
        <w:pStyle w:val="Heading1"/>
      </w:pPr>
      <w:r>
        <w:t>O que a pesquisa encontrou em Vacaria</w:t>
      </w:r>
    </w:p>
    <w:p>
      <w:r>
        <w:rPr>
          <w:b w:val="0"/>
        </w:rPr>
        <w:t xml:space="preserve">O contrato 85/2025, decorrente do Pregão 10/2025, identifica </w:t>
      </w:r>
      <w:r>
        <w:rPr>
          <w:b/>
        </w:rPr>
        <w:t>Governança Brasil S A</w:t>
      </w:r>
      <w:r>
        <w:rPr>
          <w:b w:val="0"/>
        </w:rPr>
        <w:t xml:space="preserve"> como fornecedora. A marca comercial GOVBR não é o login federal gov.br. O contrato contempla um conjunto amplo de gestão, atendimento e infraestrutura. [S01]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4781"/>
        <w:gridCol w:w="5386"/>
      </w:tblGrid>
      <w:tr>
        <w:trPr>
          <w:tblHeader/>
          <w:cantSplit/>
        </w:trPr>
        <w:tc>
          <w:tcPr>
            <w:tcW w:type="dxa" w:w="4781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Referência documental</w:t>
            </w:r>
          </w:p>
        </w:tc>
        <w:tc>
          <w:tcPr>
            <w:tcW w:type="dxa" w:w="538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Valor ou situação</w:t>
            </w:r>
          </w:p>
        </w:tc>
      </w:tr>
      <w:tr>
        <w:trPr>
          <w:cantSplit/>
        </w:trPr>
        <w:tc>
          <w:tcPr>
            <w:tcW w:type="dxa" w:w="478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Mensalidade do lote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R$ 166.000</w:t>
            </w:r>
          </w:p>
        </w:tc>
      </w:tr>
      <w:tr>
        <w:trPr>
          <w:cantSplit/>
        </w:trPr>
        <w:tc>
          <w:tcPr>
            <w:tcW w:type="dxa" w:w="478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Implantação e migração iniciais</w:t>
            </w:r>
          </w:p>
        </w:tc>
        <w:tc>
          <w:tcPr>
            <w:tcW w:type="dxa" w:w="538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R$ 34.000</w:t>
            </w:r>
          </w:p>
        </w:tc>
      </w:tr>
      <w:tr>
        <w:trPr>
          <w:cantSplit/>
        </w:trPr>
        <w:tc>
          <w:tcPr>
            <w:tcW w:type="dxa" w:w="478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Valor global inicial de 12 meses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R$ 2.026.000</w:t>
            </w:r>
          </w:p>
        </w:tc>
      </w:tr>
      <w:tr>
        <w:trPr>
          <w:cantSplit/>
        </w:trPr>
        <w:tc>
          <w:tcPr>
            <w:tcW w:type="dxa" w:w="478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Vigência inicial indicada</w:t>
            </w:r>
          </w:p>
        </w:tc>
        <w:tc>
          <w:tcPr>
            <w:tcW w:type="dxa" w:w="538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Até 22 de maio de 2026</w:t>
            </w:r>
          </w:p>
        </w:tc>
      </w:tr>
      <w:tr>
        <w:trPr>
          <w:cantSplit/>
        </w:trPr>
        <w:tc>
          <w:tcPr>
            <w:tcW w:type="dxa" w:w="478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Aditivo localizado na pesquisa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Prorrogação até 22 de maio de 2027; confirmar situação e execução atuais</w:t>
            </w:r>
          </w:p>
        </w:tc>
      </w:tr>
    </w:tbl>
    <w:p>
      <w:pPr>
        <w:spacing w:after="0"/>
      </w:pPr>
    </w:p>
    <w:p>
      <w:r>
        <w:rPr>
          <w:b w:val="0"/>
        </w:rPr>
        <w:t>Entre os itens relevantes estão processo digital, atendimento, aplicativo do cidadão, painéis, licitações, saúde, educação e datacenter. A existência contratual não comprova o grau de uso nem a qualidade percebida. O contrato foi estruturado em lote único; a discriminação de preços não garante cancelamento isolado de cada item. [S01; 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923"/>
        <w:gridCol w:w="7243"/>
      </w:tblGrid>
      <w:tr>
        <w:trPr>
          <w:tblHeader/>
          <w:cantSplit/>
        </w:trPr>
        <w:tc>
          <w:tcPr>
            <w:tcW w:type="dxa" w:w="292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Outro registro localizado</w:t>
            </w:r>
          </w:p>
        </w:tc>
        <w:tc>
          <w:tcPr>
            <w:tcW w:type="dxa" w:w="724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Leitura correta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Kodefy 57 de 2025</w:t>
            </w:r>
          </w:p>
        </w:tc>
        <w:tc>
          <w:tcPr>
            <w:tcW w:type="dxa" w:w="724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R$ 2.000 mensais na contratação original; vigência original até maio de 2026. Renovação não confirmada.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ServeCenter 69 de 2026</w:t>
            </w:r>
          </w:p>
        </w:tc>
        <w:tc>
          <w:tcPr>
            <w:tcW w:type="dxa" w:w="724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R$ 15.000 mensais em infraestrutura e suporte; prazo identificado até abril de 2027. Não equivale a licença de gestão.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Marcas e sistemas encontrados</w:t>
            </w:r>
          </w:p>
        </w:tc>
        <w:tc>
          <w:tcPr>
            <w:tcW w:type="dxa" w:w="724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Não foi comprovado custo independente atual de 1Doc, CELK ou EducarWeb fora do conjunto contratado.</w:t>
            </w:r>
          </w:p>
        </w:tc>
      </w:tr>
    </w:tbl>
    <w:p>
      <w:pPr>
        <w:spacing w:after="0"/>
      </w:pPr>
    </w:p>
    <w:p>
      <w:r>
        <w:rPr>
          <w:b w:val="0"/>
        </w:rPr>
        <w:t>Os registros acima não autorizam somar automaticamente todas as marcas como contratos paralelos. Devem ser conferidos com termos, aditivos e execução financeira antes de qualquer proposta de economia. [S03; S04]</w:t>
      </w:r>
    </w:p>
    <w:p>
      <w:pPr>
        <w:pStyle w:val="Heading2"/>
      </w:pPr>
      <w:r>
        <w:t>Conclusão para o produto</w:t>
      </w:r>
    </w:p>
    <w:p>
      <w:r>
        <w:rPr>
          <w:b w:val="0"/>
        </w:rPr>
        <w:t>A oportunidade precisa ser demonstrada em integração real, facilidade, execução, autonomia e resultado. Não cabe presumir que Vacaria esteja sem soluções digitais ou que todo o valor atual seja desperdício. A Civu terá de provar o que faz melhor e qual despesa pode efetivamente substituir.</w:t>
      </w:r>
    </w:p>
    <w:p>
      <w:r>
        <w:br w:type="page"/>
      </w:r>
    </w:p>
    <w:p>
      <w:pPr>
        <w:pStyle w:val="Heading1"/>
      </w:pPr>
      <w:r>
        <w:t>O que manter integrar e substituir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858"/>
        <w:gridCol w:w="3946"/>
        <w:gridCol w:w="4363"/>
      </w:tblGrid>
      <w:tr>
        <w:trPr>
          <w:tblHeader/>
          <w:cantSplit/>
        </w:trPr>
        <w:tc>
          <w:tcPr>
            <w:tcW w:type="dxa" w:w="1858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Tratamento</w:t>
            </w:r>
          </w:p>
        </w:tc>
        <w:tc>
          <w:tcPr>
            <w:tcW w:type="dxa" w:w="394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436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Condição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Manter durante a transição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Contabilidade, folha e funções tributárias críticas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Continuidade até equivalência, migração e aceite técnico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Integrar desde o início</w:t>
            </w:r>
          </w:p>
        </w:tc>
        <w:tc>
          <w:tcPr>
            <w:tcW w:type="dxa" w:w="39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Sistemas oficiais, bancos e fontes contábeis autorizadas</w:t>
            </w:r>
          </w:p>
        </w:tc>
        <w:tc>
          <w:tcPr>
            <w:tcW w:type="dxa" w:w="436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Acesso disponível, mapeamento, retorno e conciliação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Substituir por entregas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Atendimento, processos, fluxos e painéis sobrepostos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Operação funcional, usuários preparados e ajuste contratual viável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Substituir em fase própria</w:t>
            </w:r>
          </w:p>
        </w:tc>
        <w:tc>
          <w:tcPr>
            <w:tcW w:type="dxa" w:w="39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Compras, contratos, tributos e contabilidade completos</w:t>
            </w:r>
          </w:p>
        </w:tc>
        <w:tc>
          <w:tcPr>
            <w:tcW w:type="dxa" w:w="436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Profundidade funcional, testes legais e históricos conferidos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Reavaliar separadamente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Datacenter, suporte presencial e infraestrutura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Equivalência de cobertura, capacidade, SLA e custo total</w:t>
            </w:r>
          </w:p>
        </w:tc>
      </w:tr>
      <w:tr>
        <w:trPr>
          <w:cantSplit/>
        </w:trPr>
        <w:tc>
          <w:tcPr>
            <w:tcW w:type="dxa" w:w="1858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Tratar como produto próprio</w:t>
            </w:r>
          </w:p>
        </w:tc>
        <w:tc>
          <w:tcPr>
            <w:tcW w:type="dxa" w:w="39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Saúde e HelpU</w:t>
            </w:r>
          </w:p>
        </w:tc>
        <w:tc>
          <w:tcPr>
            <w:tcW w:type="dxa" w:w="436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Escopo, preço, responsabilidades e integração específicos</w:t>
            </w:r>
          </w:p>
        </w:tc>
      </w:tr>
    </w:tbl>
    <w:p>
      <w:pPr>
        <w:spacing w:after="0"/>
      </w:pPr>
    </w:p>
    <w:p>
      <w:pPr>
        <w:pStyle w:val="Heading2"/>
      </w:pPr>
      <w:r>
        <w:t>Como interpretar os valores comparados</w:t>
      </w:r>
    </w:p>
    <w:p>
      <w:r>
        <w:rPr>
          <w:b w:val="0"/>
        </w:rPr>
        <w:t>A cesta de R$ 46.321 mensais da imagem enviada soma: processo digital de R$ 25.190; atendimento e dois itens de mobilidade de R$ 5.250; licitações de R$ 2.540; painéis de R$ 4.221; acompanhamento técnico de R$ 9.120. É um recorte analítico do contrato, não uma contratação autônoma de produto equivalente. [S01]</w:t>
      </w:r>
    </w:p>
    <w:p>
      <w:r>
        <w:rPr>
          <w:b w:val="0"/>
        </w:rPr>
        <w:t>Os R$ 5.250 incluem R$ 890 de aplicativo de mobilidade cuja descrição não permite afirmar que seja um segundo app do cidadão. O acompanhamento técnico prevê uma carga específica de atendimento; não é uma margem genérica disponível para substituir.</w:t>
      </w:r>
    </w:p>
    <w:p>
      <w:r>
        <w:rPr>
          <w:b w:val="0"/>
        </w:rPr>
        <w:t>Outra cesta usada nos estudos, de R$ 35.071, considera processo digital, plataforma de atendimento, aplicativo do cidadão, análise de dados e painéis. Os recortes respondem a perguntas diferentes; não devem ser combinados ou tratados como economias acumuláveis.</w:t>
      </w:r>
    </w:p>
    <w:p>
      <w:pPr>
        <w:pStyle w:val="Heading2"/>
      </w:pPr>
      <w:r>
        <w:t>Regra para retirar um sistema</w:t>
      </w:r>
    </w:p>
    <w:p>
      <w:r>
        <w:rPr>
          <w:b w:val="0"/>
        </w:rPr>
        <w:t>Conferir cobertura funcional, obrigações, exportação, histórico, custos de coexistência, equipe e prazo contratual. Validar a operação substituta, reconciliar os dados e formalizar o encerramento cabível. O produto pode sustentar a escolha futura da prefeitura; não deve pressupor uma rescisão antecipada sem análise do instrumento vigente.</w:t>
      </w:r>
    </w:p>
    <w:p>
      <w:r>
        <w:br w:type="page"/>
      </w:r>
    </w:p>
    <w:p>
      <w:pPr>
        <w:pStyle w:val="Heading1"/>
      </w:pPr>
      <w:r>
        <w:t>Convergências e ajustes dos estudos anteriores</w:t>
      </w:r>
    </w:p>
    <w:p>
      <w:r>
        <w:rPr>
          <w:b w:val="0"/>
        </w:rPr>
        <w:t>Os documentos “Sistema de Gestão Administrativa Municipal — Esboço” e “Trâmite × 1Doc — como superar” são contribuições de pesquisa e desenho. Suas recomendações não são automaticamente requisitos aprovados, código implementado ou regras válidas em Vacaria. [M01; M02]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541"/>
        <w:gridCol w:w="4003"/>
        <w:gridCol w:w="4622"/>
      </w:tblGrid>
      <w:tr>
        <w:trPr>
          <w:tblHeader/>
          <w:cantSplit/>
        </w:trPr>
        <w:tc>
          <w:tcPr>
            <w:tcW w:type="dxa" w:w="1541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003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O que aproveitar</w:t>
            </w:r>
          </w:p>
        </w:tc>
        <w:tc>
          <w:tcPr>
            <w:tcW w:type="dxa" w:w="462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O que ajustar na Civu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Processo como base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Responsável, prazo, documentos e rastreabilidade de ponta a ponta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Fluxos distintos por serviço; sem quantidade fixa de etapas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Compras e finanças</w:t>
            </w:r>
          </w:p>
        </w:tc>
        <w:tc>
          <w:tcPr>
            <w:tcW w:type="dxa" w:w="400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Demanda ligada ao contrato, atesto e pagamento</w:t>
            </w:r>
          </w:p>
        </w:tc>
        <w:tc>
          <w:tcPr>
            <w:tcW w:type="dxa" w:w="46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Separar ato administrativo, registro contábil e confirmação bancária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IA e WhatsApp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Assistência contextual e comunicação vinculada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Revisão humana, autenticação, custos e regras do canal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Entrada no mercado</w:t>
            </w:r>
          </w:p>
        </w:tc>
        <w:tc>
          <w:tcPr>
            <w:tcW w:type="dxa" w:w="400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Implantação gradual e prova de resultado</w:t>
            </w:r>
          </w:p>
        </w:tc>
        <w:tc>
          <w:tcPr>
            <w:tcW w:type="dxa" w:w="46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Vacaria é a prioridade; produto funcional antes da apresentação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Escopo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Módulos conectados e saída de dados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Civu inclui visão tributária, territorial e setorial mais ampla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Arquitetura</w:t>
            </w:r>
          </w:p>
        </w:tc>
        <w:tc>
          <w:tcPr>
            <w:tcW w:type="dxa" w:w="4003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Fluxos configuráveis, eventos e integrações desacopladas</w:t>
            </w:r>
          </w:p>
        </w:tc>
        <w:tc>
          <w:tcPr>
            <w:tcW w:type="dxa" w:w="462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Tecnologia e isolamento a decidir; trilha exige controles completos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Preço e prazo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Hipóteses úteis para comparação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Valores de produto enxuto e prazo de MVP não cobrem toda a Civu</w:t>
            </w:r>
          </w:p>
        </w:tc>
      </w:tr>
    </w:tbl>
    <w:p>
      <w:pPr>
        <w:spacing w:after="0"/>
      </w:pPr>
    </w:p>
    <w:p>
      <w:pPr>
        <w:pStyle w:val="Heading2"/>
      </w:pPr>
      <w:r>
        <w:t>Afirmações que não devem virar promessa</w:t>
      </w:r>
    </w:p>
    <w:p>
      <w:r>
        <w:rPr>
          <w:b w:val="0"/>
        </w:rPr>
        <w:t>Não está demonstrado que nenhum concorrente tenha fluxo integrado, IA, WhatsApp ou envio automático ao PNCP. A 1Doc divulga atendimento com IA no WhatsApp; ABASE divulga recursos de compras e integração, além de portal do fornecedor; Thema divulga capacidades integradas de materiais. São alegações dos próprios fornecedores, não testes independentes de qualidade. [S05; S06]</w:t>
      </w:r>
    </w:p>
    <w:p>
      <w:r>
        <w:rPr>
          <w:b w:val="0"/>
        </w:rPr>
        <w:t>Os prazos e resultados citados em outras cidades não são a linha de base de Vacaria. Valores globais de contratos não podem ser usados como mensalidades. O registro de Pescaria Brava com R$ 48.600, por exemplo, é global. As estatísticas de 128 licitações e R$ 17,5 milhões mostradas na imagem não foram revalidadas como universo comparável. [S19]</w:t>
      </w:r>
    </w:p>
    <w:p>
      <w:r>
        <w:rPr>
          <w:b w:val="0"/>
        </w:rPr>
        <w:t>A principal oportunidade de diferenciação é comprovar a experiência completa, a operação e o resultado, com evidências comparáveis. Quantidade de telas e afirmações de exclusividade não substituem essa prova.</w:t>
      </w:r>
    </w:p>
    <w:p>
      <w:r>
        <w:br w:type="page"/>
      </w:r>
    </w:p>
    <w:p>
      <w:pPr>
        <w:pStyle w:val="Heading1"/>
      </w:pPr>
      <w:r>
        <w:t>Preço economia e modelo comercial</w:t>
      </w:r>
    </w:p>
    <w:p>
      <w:r>
        <w:rPr>
          <w:b w:val="0"/>
        </w:rPr>
      </w:r>
      <w:r>
        <w:rPr>
          <w:b/>
        </w:rPr>
        <w:t>Referência definida para estudo:</w:t>
      </w:r>
      <w:r>
        <w:rPr>
          <w:b w:val="0"/>
        </w:rPr>
        <w:t xml:space="preserve"> R$ 50 mil a R$ 70 mil por mês, ou R$ 600 mil a R$ 840 mil por ano. É uma hipótese comercial, não um preço contratado ou uma conclusão de que qualquer escopo cabe nessa faixa.</w:t>
      </w:r>
    </w:p>
    <w:p>
      <w:pPr>
        <w:pStyle w:val="Heading2"/>
      </w:pPr>
      <w:r>
        <w:t>Composição proposta</w:t>
      </w:r>
    </w:p>
    <w:p>
      <w:r>
        <w:rPr>
          <w:b w:val="0"/>
        </w:rPr>
        <w:t>Separar implantação e migração; licença e operação recorrente; volumes de usuários e uso; suporte e disponibilidade; integrações; mensagens e IA; treinamento; evolução acordada. Saúde e HelpU têm escopos próprios. O pacote precisa declarar o que está incluído e como custos variáveis serão medidos.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552"/>
        <w:gridCol w:w="3614"/>
      </w:tblGrid>
      <w:tr>
        <w:trPr>
          <w:tblHeader/>
          <w:cantSplit/>
        </w:trPr>
        <w:tc>
          <w:tcPr>
            <w:tcW w:type="dxa" w:w="655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Cenário ilustrativo com Civu a R$ 60 mil</w:t>
            </w:r>
          </w:p>
        </w:tc>
        <w:tc>
          <w:tcPr>
            <w:tcW w:type="dxa" w:w="361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Efeito mensal antes dos demais custos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Nenhum contrato atual reduzido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Acréscimo de R$ 60.000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Redução efetiva de R$ 35.071</w:t>
            </w:r>
          </w:p>
        </w:tc>
        <w:tc>
          <w:tcPr>
            <w:tcW w:type="dxa" w:w="36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Acréscimo líquido de R$ 24.929</w:t>
            </w:r>
          </w:p>
        </w:tc>
      </w:tr>
      <w:tr>
        <w:trPr>
          <w:cantSplit/>
        </w:trPr>
        <w:tc>
          <w:tcPr>
            <w:tcW w:type="dxa" w:w="655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Redução efetiva de R$ 46.321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Acréscimo líquido de R$ 13.679</w:t>
            </w:r>
          </w:p>
        </w:tc>
      </w:tr>
    </w:tbl>
    <w:p>
      <w:pPr>
        <w:spacing w:after="0"/>
      </w:pPr>
    </w:p>
    <w:p>
      <w:r>
        <w:rPr>
          <w:b w:val="0"/>
        </w:rPr>
        <w:t>Os cenários são aritméticos e condicionais. Não demonstram que essas reduções sejam juridicamente separáveis, tecnicamente equivalentes ou executáveis. O último cenário ainda exige benefício adicional superior a R$ 13.679 mensais, mais os demais custos incrementais, para produzir retorno financeiro positivo.</w:t>
      </w:r>
    </w:p>
    <w:p>
      <w:pPr>
        <w:pStyle w:val="Heading2"/>
      </w:pPr>
      <w:r>
        <w:t>Fontes potenciais de valor</w:t>
      </w:r>
    </w:p>
    <w:p>
      <w:r>
        <w:rPr>
          <w:b w:val="0"/>
        </w:rPr>
        <w:t>Redução comprovada de licenças sobrepostas; menos retrabalho, deslocamento e consumo; melhor programação de manutenção e compras; controle de desperdícios; cobrança regular mais eficiente; melhor gestão de repasses e prazos. Ganhos dependem de dados locais, adoção e execução, e não podem ser contabilizados duas vezes.</w:t>
      </w:r>
    </w:p>
    <w:p>
      <w:pPr>
        <w:pStyle w:val="Heading2"/>
      </w:pPr>
      <w:r>
        <w:t>Sustentabilidade da empresa</w:t>
      </w:r>
    </w:p>
    <w:p>
      <w:r>
        <w:rPr>
          <w:b w:val="0"/>
        </w:rPr>
        <w:t>O preço precisa financiar suporte, segurança, manutenção legal, infraestrutura, uso de terceiros e continuidade. A estimativa anterior de operação recorrente de R$ 45 mil a R$ 68 mil mensais deixa margem estreita ou negativa em algumas combinações, antes de tributos, expansão e recuperação do investimento de desenvolvimento.</w:t>
      </w:r>
    </w:p>
    <w:p>
      <w:r>
        <w:rPr>
          <w:b w:val="0"/>
        </w:rPr>
        <w:t>A expansão para outros municípios pode diluir custos da plataforma, mas não é receita garantida. O compromisso comercial só deve ser fechado depois de dimensionar o custo por município, o nível de serviço e o capital necessário.</w:t>
      </w:r>
    </w:p>
    <w:p>
      <w:r>
        <w:br w:type="page"/>
      </w:r>
    </w:p>
    <w:p>
      <w:pPr>
        <w:pStyle w:val="Heading1"/>
      </w:pPr>
      <w:r>
        <w:t>Contratação pública e expansão</w:t>
      </w:r>
    </w:p>
    <w:p>
      <w:r>
        <w:rPr>
          <w:b w:val="0"/>
        </w:rPr>
        <w:t>A apresentação de um produto pronto ajuda a prefeitura a avaliar capacidade e valor. A contratação continua dependendo de necessidade pública, procedimento adequado, pesquisa de preços e critérios verificáveis. Acesso ao prefeito e inovação comercial não substituem essas etapas.</w:t>
      </w:r>
    </w:p>
    <w:p>
      <w:pPr>
        <w:pStyle w:val="Heading2"/>
      </w:pPr>
      <w:r>
        <w:t>CPSI como possibilidade condicionada</w:t>
      </w:r>
    </w:p>
    <w:p>
      <w:r>
        <w:rPr>
          <w:b w:val="0"/>
        </w:rPr>
        <w:t>A LC 182 prevê seleção pública especial para testar soluções inovadoras, inclusive já desenvolvidas. O enquadramento depende do problema e do teste pretendido. Não é uma autorização genérica para contratar qualquer SaaS sem competição. [S15; S16]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3557"/>
        <w:gridCol w:w="6610"/>
      </w:tblGrid>
      <w:tr>
        <w:trPr>
          <w:tblHeader/>
          <w:cantSplit/>
        </w:trPr>
        <w:tc>
          <w:tcPr>
            <w:tcW w:type="dxa" w:w="3557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Regra de referência do CPSI</w:t>
            </w:r>
          </w:p>
        </w:tc>
        <w:tc>
          <w:tcPr>
            <w:tcW w:type="dxa" w:w="6610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Leitura para o projeto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Prazo de teste</w:t>
            </w:r>
          </w:p>
        </w:tc>
        <w:tc>
          <w:tcPr>
            <w:tcW w:type="dxa" w:w="661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Até 12 meses, prorrogável por até mais 12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Limite previsto na lei</w:t>
            </w:r>
          </w:p>
        </w:tc>
        <w:tc>
          <w:tcPr>
            <w:tcW w:type="dxa" w:w="661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R$ 1,6 milhão por CPSI; não uma franquia anual automática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Fornecimento posterior</w:t>
            </w:r>
          </w:p>
        </w:tc>
        <w:tc>
          <w:tcPr>
            <w:tcW w:type="dxa" w:w="661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Pode ser contratado nas condições legais, sem nova licitação; não é garantido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Prazo do fornecimento</w:t>
            </w:r>
          </w:p>
        </w:tc>
        <w:tc>
          <w:tcPr>
            <w:tcW w:type="dxa" w:w="661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Até 24 meses, prorrogável por até mais 24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Limite geral do fornecimento</w:t>
            </w:r>
          </w:p>
        </w:tc>
        <w:tc>
          <w:tcPr>
            <w:tcW w:type="dxa" w:w="661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Até cinco vezes o teto legal do CPSI, incluindo prorrogações; verificar regra aplicável</w:t>
            </w:r>
          </w:p>
        </w:tc>
      </w:tr>
    </w:tbl>
    <w:p>
      <w:pPr>
        <w:spacing w:after="0"/>
      </w:pPr>
    </w:p>
    <w:p>
      <w:r>
        <w:rPr>
          <w:b w:val="0"/>
        </w:rPr>
        <w:t>O teto não é justificativa de preço. Metas, riscos, propriedade intelectual, pagamento por etapas e critérios de encerramento precisam estar claros. A adequação do caminho deve ser revisada por especialista em contratação pública com base no objeto concreto e na norma vigente. [S15; S16]</w:t>
      </w:r>
    </w:p>
    <w:p>
      <w:pPr>
        <w:pStyle w:val="Heading2"/>
      </w:pPr>
      <w:r>
        <w:t>Outros caminhos</w:t>
      </w:r>
    </w:p>
    <w:p>
      <w:r>
        <w:rPr>
          <w:b w:val="0"/>
        </w:rPr>
        <w:t>Licitação comum, consórcios e registro de preços podem ser avaliados conforme o objeto e as regras aplicáveis. Adesões não são automáticas nem dispensam os requisitos do regime. Fases de desenvolvimento não devem ser usadas para fracionar artificialmente a contratação e contornar limites.</w:t>
      </w:r>
    </w:p>
    <w:p>
      <w:pPr>
        <w:pStyle w:val="Heading2"/>
      </w:pPr>
      <w:r>
        <w:t>Replicação</w:t>
      </w:r>
    </w:p>
    <w:p>
      <w:r>
        <w:rPr>
          <w:b w:val="0"/>
        </w:rPr>
        <w:t>Começar com configuração municipal e estadual documentada, reaproveitar o núcleo e manter conectores e regras locais versionados. Um caso comprovado deve mostrar escopo, período, custo total e resultados. A expansão não deve se apoiar em afirmações genéricas de que todos os municípios operam do mesmo modo.</w:t>
      </w:r>
    </w:p>
    <w:p>
      <w:r>
        <w:br w:type="page"/>
      </w:r>
    </w:p>
    <w:p>
      <w:pPr>
        <w:pStyle w:val="Heading1"/>
      </w:pPr>
      <w:r>
        <w:t>Plano de desenvolvimento por fases</w:t>
      </w:r>
    </w:p>
    <w:p>
      <w:r>
        <w:rPr>
          <w:b w:val="0"/>
        </w:rPr>
        <w:t>O planejamento anterior considerou cerca de 12 meses para a primeira operação ampliada, com piloto estimado entre seis e oito meses. Essas são hipóteses, não garantia de ERP completo nesse prazo. A orientação atual é construir antes da apresentação, usando dados fictícios e ambientes autorizados de 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1714"/>
        <w:gridCol w:w="4824"/>
        <w:gridCol w:w="3629"/>
      </w:tblGrid>
      <w:tr>
        <w:trPr>
          <w:tblHeader/>
          <w:cantSplit/>
        </w:trPr>
        <w:tc>
          <w:tcPr>
            <w:tcW w:type="dxa" w:w="171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482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629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Critério para avançar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0</w:t>
              <w:br/>
              <w:t>4 a 6 semanas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Consolidar requisitos, regras, arquitetura, custos, identidade e escopo da primeira versão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Lista priorizada, casos de teste e dependências identificadas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1</w:t>
              <w:br/>
              <w:t>Meses 2 e 3</w:t>
            </w:r>
          </w:p>
        </w:tc>
        <w:tc>
          <w:tcPr>
            <w:tcW w:type="dxa" w:w="482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Base de dados, identidade, representação, processo, documentos, portais e permissões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Jornadas persistentes com usuários distintos e histórico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2</w:t>
              <w:br/>
              <w:t>Meses 4 a 6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Compras, contratos, tributos prioritários, obras, finanças conectadas, WhatsApp e integrações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Fluxos completos, falhas tratadas e evidência por 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3</w:t>
              <w:br/>
              <w:t>Meses 7 e 8</w:t>
            </w:r>
          </w:p>
        </w:tc>
        <w:tc>
          <w:tcPr>
            <w:tcW w:type="dxa" w:w="482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Segurança, migração ensaiada, observatório inicial e preparação operacional</w:t>
            </w:r>
          </w:p>
        </w:tc>
        <w:tc>
          <w:tcPr>
            <w:tcW w:type="dxa" w:w="362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Versão demonstrável validada e plano de implantação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4</w:t>
              <w:br/>
              <w:t>Meses 9 a 12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Implantação autorizada, estabilização, medição e expansão conforme prioridades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Aceite operacional e resultados auditáveis por módulo</w:t>
            </w:r>
          </w:p>
        </w:tc>
      </w:tr>
    </w:tbl>
    <w:p>
      <w:pPr>
        <w:spacing w:after="0"/>
      </w:pPr>
    </w:p>
    <w:p>
      <w:pPr>
        <w:pStyle w:val="Heading2"/>
      </w:pPr>
      <w:r>
        <w:t>Marco de apresentação</w:t>
      </w:r>
    </w:p>
    <w:p>
      <w:r>
        <w:rPr>
          <w:b w:val="0"/>
        </w:rPr>
        <w:t>Apresentar quando a versão escolhida executar jornadas reais de software, persistir informações e comprovar acesso e histórico. Dados podem ser fictícios; conectores ainda não autorizados devem aparecer como simulação. Se a exigência for apresentar toda a contabilidade, folha e gestão setorial próprias já operacionais, o prazo precisa ser reestimado antes de assumir compromisso.</w:t>
      </w:r>
    </w:p>
    <w:p>
      <w:pPr>
        <w:pStyle w:val="Heading2"/>
      </w:pPr>
      <w:r>
        <w:t>Fase zero interna</w:t>
      </w:r>
    </w:p>
    <w:p>
      <w:r>
        <w:rPr>
          <w:b w:val="0"/>
        </w:rPr>
        <w:t>Revisar protótipo e materiais; separar regras nacionais e locais; definir o produto inicial; mapear conectores; preparar cenários de teste; modelar custo e capacidade; escolher arquitetura e responsáveis. Essa fase não depende de agendar uma reunião com o prefeito.</w:t>
      </w:r>
    </w:p>
    <w:p>
      <w:r>
        <w:rPr>
          <w:b w:val="0"/>
        </w:rPr>
        <w:t>A validação com a prefeitura ocorre quando houver interesse institucional e acesso autorizado. Ela será necessária para produção, incluindo dados, regras locais e configuração. Saúde completa e HelpU não estão incluídas automaticamente no esforço de doze meses.</w:t>
      </w:r>
    </w:p>
    <w:p>
      <w:r>
        <w:br w:type="page"/>
      </w:r>
    </w:p>
    <w:p>
      <w:pPr>
        <w:pStyle w:val="Heading1"/>
      </w:pPr>
      <w:r>
        <w:t>Equipe investimento e capacidade</w:t>
      </w:r>
    </w:p>
    <w:p>
      <w:r>
        <w:rPr>
          <w:b w:val="0"/>
        </w:rPr>
        <w:t>As faixas abaixo consolidam o planejamento preliminar discutido. São estimativas para orientar decisão de investimento, sem orçamento de fornecedores, contratação de equipe ou levantamento exaustivo do escopo. O acréscimo de novos módulos exige revisão.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6120"/>
        <w:gridCol w:w="4046"/>
      </w:tblGrid>
      <w:tr>
        <w:trPr>
          <w:tblHeader/>
          <w:cantSplit/>
        </w:trPr>
        <w:tc>
          <w:tcPr>
            <w:tcW w:type="dxa" w:w="6120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046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Faixa de investimento estimada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 0 ajustada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R$ 65 mil a R$ 100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 1</w:t>
            </w:r>
          </w:p>
        </w:tc>
        <w:tc>
          <w:tcPr>
            <w:tcW w:type="dxa" w:w="40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R$ 180 mil a R$ 260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 2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R$ 345 mil a R$ 510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 3</w:t>
            </w:r>
          </w:p>
        </w:tc>
        <w:tc>
          <w:tcPr>
            <w:tcW w:type="dxa" w:w="40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R$ 240 mil a R$ 350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Fase 4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R$ 440 mil a R$ 640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40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R$ 1,270 milhão a R$ 1,860 milhão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Reserva de planejamento de 20 por cento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R$ 254 mil a R$ 372 mil</w:t>
            </w:r>
          </w:p>
        </w:tc>
      </w:tr>
      <w:tr>
        <w:trPr>
          <w:cantSplit/>
        </w:trPr>
        <w:tc>
          <w:tcPr>
            <w:tcW w:type="dxa" w:w="6120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Total estimado com reserva</w:t>
            </w:r>
          </w:p>
        </w:tc>
        <w:tc>
          <w:tcPr>
            <w:tcW w:type="dxa" w:w="4046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R$ 1,524 milhão a R$ 2,232 milhões</w:t>
            </w:r>
          </w:p>
        </w:tc>
      </w:tr>
    </w:tbl>
    <w:p>
      <w:pPr>
        <w:spacing w:after="0"/>
      </w:pPr>
    </w:p>
    <w:p>
      <w:r>
        <w:rPr>
          <w:b w:val="0"/>
        </w:rPr>
        <w:t>A fase zero original era R$ 50 mil a R$ 80 mil. O ajuste de R$ 15 mil a R$ 20 mil considera aprofundamento imobiliário e interfaces de escopo. As demais faixas foram preservadas apenas para manter rastreabilidade; não constituem nova cotação de toda a plataforma.</w:t>
      </w:r>
    </w:p>
    <w:p>
      <w:pPr>
        <w:pStyle w:val="Heading2"/>
      </w:pPr>
      <w:r>
        <w:t>Composição de equipe proposta</w:t>
      </w:r>
    </w:p>
    <w:p>
      <w:r>
        <w:rPr>
          <w:b w:val="0"/>
        </w:rPr>
        <w:t>No pico: liderança de produto, liderança técnica, dois desenvolvedores de serviços e dados, um de interface e um profissional de qualidade. Apoio parcial de design, dados e infraestrutura somaria aproximadamente 1,3 dedicação integral equivalente: cerca de 7,3 no total. A distribuição exata precisa ser ajustada à arquitetura e ao reaproveitamento possível.</w:t>
      </w:r>
    </w:p>
    <w:p>
      <w:r>
        <w:rPr>
          <w:b w:val="0"/>
        </w:rPr>
        <w:t>Especialistas em contabilidade pública, tributos, licitações, segurança, proteção de dados e operação municipal são necessários para validar seus domínios. Participação parcial não significa revisão ilimitada incluída no preço. A referência anterior de pessoal de R$ 110 mil a R$ 158 mil mensais requer validação por composição e encargos.</w:t>
      </w:r>
    </w:p>
    <w:p>
      <w:pPr>
        <w:pStyle w:val="Heading2"/>
      </w:pPr>
      <w:r>
        <w:t>Evitar dupla contagem</w:t>
      </w:r>
    </w:p>
    <w:p>
      <w:r>
        <w:rPr>
          <w:b w:val="0"/>
        </w:rPr>
        <w:t>O custo recorrente de operação não deve ser adicionado integralmente aos meses em que as mesmas pessoas e recursos já estão no orçamento de desenvolvimento. Implantação, uso externo, tributos, contingência e expansão precisam ter rubricas claras. A primeira assinatura municipal não deve ser presumida suficiente para financiar todo o produto.</w:t>
      </w:r>
    </w:p>
    <w:p>
      <w:r>
        <w:br w:type="page"/>
      </w:r>
    </w:p>
    <w:p>
      <w:pPr>
        <w:pStyle w:val="Heading1"/>
      </w:pPr>
      <w:r>
        <w:t>Demonstração funcional do produto</w:t>
      </w:r>
    </w:p>
    <w:p>
      <w:r>
        <w:rPr>
          <w:b w:val="0"/>
        </w:rPr>
        <w:t>A apresentação deve mostrar poucas jornadas completas, conectadas, com dados de exemplo claramente identificados. O objetivo é permitir que alguém use o produto e veja consequência, responsável e histórico, sem depender de uma sequência de telas preparada manualmente.</w:t>
      </w:r>
    </w:p>
    <w:p>
      <w:pPr>
        <w:pStyle w:val="Heading2"/>
      </w:pPr>
      <w:r>
        <w:t>Cidadão solicitando um serviço</w:t>
      </w:r>
    </w:p>
    <w:p>
      <w:r>
        <w:rPr>
          <w:b w:val="0"/>
        </w:rPr>
        <w:t>Entrar com identidade de teste; registrar problema urbano; receber protocolo; acompanhar triagem; gestor programar equipe; equipe registrar execução e evidência; cidadão receber atualização; painel refletir conclusão. Demonstrar também pedido incompleto, duplicidade e mudança de prazo.</w:t>
      </w:r>
    </w:p>
    <w:p>
      <w:pPr>
        <w:pStyle w:val="Heading2"/>
      </w:pPr>
      <w:r>
        <w:t>Empresa acompanhando seu processo</w:t>
      </w:r>
    </w:p>
    <w:p>
      <w:r>
        <w:rPr>
          <w:b w:val="0"/>
        </w:rPr>
        <w:t>Entrar como representante de empresa fictícia; solicitar licença ou processo tributário; receber exigência; enviar complemento; área competente analisar; registrar decisão e disponibilizar documento. Trocar para usuário sem autorização e comprovar que o processo privado não pode ser acessado.</w:t>
      </w:r>
    </w:p>
    <w:p>
      <w:pPr>
        <w:pStyle w:val="Heading2"/>
      </w:pPr>
      <w:r>
        <w:t>Fornecedor acompanhando contrato e pagamento</w:t>
      </w:r>
    </w:p>
    <w:p>
      <w:r>
        <w:rPr>
          <w:b w:val="0"/>
        </w:rPr>
        <w:t>Abrir contrato; enviar medição e nota de exemplo; fiscal atestar ou glosar; área financeira liquidar; autoridade autorizar; tesouraria programar; conector simular retorno aceito ou rejeitado. Atualizar o portal apenas conforme o estado efetivamente confirmado, com documentos e histórico.</w:t>
      </w:r>
    </w:p>
    <w:p>
      <w:pPr>
        <w:pStyle w:val="Heading2"/>
      </w:pPr>
      <w:r>
        <w:t>Prefeito tomando uma decisão informada</w:t>
      </w:r>
    </w:p>
    <w:p>
      <w:r>
        <w:rPr>
          <w:b w:val="0"/>
        </w:rPr>
        <w:t>Abrir painel; identificar atraso ou pressão de caixa; consultar os processos que geraram o alerta; ver sugestão e evidências; encaminhar a ação a quem tem competência; acompanhar mudança e resultado. Mostrar uma previsão com hipóteses explícitas e uma medição de economia com memória de cálculo.</w:t>
      </w:r>
    </w:p>
    <w:p>
      <w:pPr>
        <w:pStyle w:val="Heading2"/>
      </w:pPr>
      <w:r>
        <w:t>Complemento imobiliário</w:t>
      </w:r>
    </w:p>
    <w:p>
      <w:r>
        <w:rPr>
          <w:b w:val="0"/>
        </w:rPr>
        <w:t>Consultar imóvel fictício, histórico cadastral e comparáveis; explicar diferença entre anúncio, transação e avaliação; apresentar uma região com dados suficientes e outra com confiança baixa. A revisão técnica permanece identificada.</w:t>
      </w:r>
    </w:p>
    <w:p>
      <w:r>
        <w:rPr>
          <w:b w:val="0"/>
        </w:rPr>
      </w:r>
      <w:r>
        <w:rPr>
          <w:b/>
        </w:rPr>
        <w:t>O que a demonstração deve provar:</w:t>
      </w:r>
      <w:r>
        <w:rPr>
          <w:b w:val="0"/>
        </w:rPr>
        <w:t xml:space="preserve"> persistência das informações, atualização entre módulos, controle de acesso, sequência de aprovação, rastreabilidade e tratamento de falha. Enviar um documento real a um órgão ou banco não faz parte de uma demonstração sem autorização.</w:t>
      </w:r>
    </w:p>
    <w:p>
      <w:r>
        <w:br w:type="page"/>
      </w:r>
    </w:p>
    <w:p>
      <w:pPr>
        <w:pStyle w:val="Heading1"/>
      </w:pPr>
      <w:r>
        <w:t>Critérios de prontidão e implantação</w:t>
      </w:r>
    </w:p>
    <w:p>
      <w:r>
        <w:rPr>
          <w:b w:val="0"/>
        </w:rPr>
        <w:t>O protótipo atual demonstra navegação e comportamento com dados fictícios, incluindo licitações, tributos, obras, finanças, painel do prefeito, automação, permissões e integrações. A inspeção do arquivo confirma simulações e estado local. Não há evidência suficiente para classificar esse material como produção municipal homologada. [M04]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2232"/>
        <w:gridCol w:w="7934"/>
      </w:tblGrid>
      <w:tr>
        <w:trPr>
          <w:tblHeader/>
          <w:cantSplit/>
        </w:trPr>
        <w:tc>
          <w:tcPr>
            <w:tcW w:type="dxa" w:w="2232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type="dxa" w:w="7934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Evidência mínima proposta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Produto funcional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Dados persistentes, múltiplos usuários, jornadas completas e teste de erro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Acesso e auditoria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Permissões verificadas no servidor, representação, segregação e histórico protegido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Integração pronta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Credenciais autorizadas, retorno conferido, rejeição e reenvio sem duplicidade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Migração segura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Inventário, dicionário, amostra, totais e anexos reconciliados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Operação suportada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Monitoramento, recuperação testada, suporte, treinamento e responsáveis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Substituição autorizada</w:t>
            </w:r>
          </w:p>
        </w:tc>
        <w:tc>
          <w:tcPr>
            <w:tcW w:type="dxa" w:w="7934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Aceite funcional e contábil pertinente, plano de transição e ajuste contratual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Resultado demonstrado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Linha de base, período comparável e evidência validada pelo município</w:t>
            </w:r>
          </w:p>
        </w:tc>
      </w:tr>
    </w:tbl>
    <w:p>
      <w:pPr>
        <w:spacing w:after="0"/>
      </w:pPr>
    </w:p>
    <w:p>
      <w:pPr>
        <w:pStyle w:val="Heading2"/>
      </w:pPr>
      <w:r>
        <w:t>Informações necessárias antes de entrar em produção</w:t>
      </w:r>
    </w:p>
    <w:p>
      <w:r>
        <w:rPr>
          <w:b w:val="0"/>
        </w:rPr>
        <w:t>Contratos e aditivos vigentes; relação de serviços e volumes; organograma e delegações; normas locais; cadastros e dicionários; amostras de processos; saldos e contas; certificados e condições de integração; regras de guarda e privacidade; inventário técnico; custos operacionais e indicadores disponíveis. O acesso deve ser mínimo, autorizado e documentado.</w:t>
      </w:r>
    </w:p>
    <w:p>
      <w:pPr>
        <w:pStyle w:val="Heading2"/>
      </w:pPr>
      <w:r>
        <w:t>Validações por competência</w:t>
      </w:r>
    </w:p>
    <w:p>
      <w:r>
        <w:rPr>
          <w:b w:val="0"/>
        </w:rPr>
        <w:t>Finanças valida saldos, fontes e registros; compras e jurídico validam fluxos e documentos; tributos valida regras e cadastros; obras valida medições; atendimento valida linguagem e serviços; TI valida acesso, migração e continuidade; controle interno valida trilhas e evidências. Não é um roteiro de reunião: são requisitos para a implantação posterior.</w:t>
      </w:r>
    </w:p>
    <w:p>
      <w:r>
        <w:rPr>
          <w:b w:val="0"/>
        </w:rPr>
        <w:t>O aceite deve indicar versão, cenário, resultado, responsável e pendências. Falhas impeditivas bloqueiam a entrada do módulo afetado. A operação precisa prever coexistência temporária, comunicação aos usuários, conferência final e procedimento de recuperação.</w:t>
      </w:r>
    </w:p>
    <w:p>
      <w:r>
        <w:br w:type="page"/>
      </w:r>
    </w:p>
    <w:p>
      <w:pPr>
        <w:pStyle w:val="Heading1"/>
      </w:pPr>
      <w:r>
        <w:t>Decisões abertas para a análise conjunta</w:t>
      </w:r>
    </w:p>
    <w:p>
      <w:r>
        <w:rPr>
          <w:b w:val="0"/>
        </w:rPr>
        <w:t>A visão, o nome, o foco em Vacaria, a centralização e a direção de preço estão registrados. O próximo trabalho é transformar amplitude em entregas com profundidade, sem perder a simplicidade. Os pontos abaixo exigem decisão conjunta ou validação específica.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5" w:type="dxa"/>
          <w:right w:w="105" w:type="dxa"/>
        </w:tblCellMar>
      </w:tblPr>
      <w:tblGrid>
        <w:gridCol w:w="3139"/>
        <w:gridCol w:w="7027"/>
      </w:tblGrid>
      <w:tr>
        <w:trPr>
          <w:tblHeader/>
          <w:cantSplit/>
        </w:trPr>
        <w:tc>
          <w:tcPr>
            <w:tcW w:type="dxa" w:w="3139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Questão</w:t>
            </w:r>
          </w:p>
        </w:tc>
        <w:tc>
          <w:tcPr>
            <w:tcW w:type="dxa" w:w="7027"/>
            <w:vAlign w:val="center"/>
            <w:shd w:fill="172D36"/>
          </w:tcPr>
          <w:p>
            <w:pPr>
              <w:keepNext w:val="0"/>
              <w:spacing w:after="0" w:line="250" w:lineRule="auto"/>
            </w:pPr>
            <w:r>
              <w:rPr>
                <w:b/>
                <w:color w:val="FFFFFF"/>
                <w:sz w:val="20"/>
              </w:rPr>
              <w:t>Encaminhamento proposto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Primeira versão apresentável</w:t>
            </w:r>
          </w:p>
        </w:tc>
        <w:tc>
          <w:tcPr>
            <w:tcW w:type="dxa" w:w="702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Definir quais jornadas estarão completas e quais conectores serão simulados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Contabilidade e folha próprias</w:t>
            </w:r>
          </w:p>
        </w:tc>
        <w:tc>
          <w:tcPr>
            <w:tcW w:type="dxa" w:w="702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Fixar profundidade, responsáveis técnicos e marco realista de substituição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Licitação eletrônica</w:t>
            </w:r>
          </w:p>
        </w:tc>
        <w:tc>
          <w:tcPr>
            <w:tcW w:type="dxa" w:w="702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Escolher integração com sala de disputa ou desenvolvimento próprio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Escopo setorial</w:t>
            </w:r>
          </w:p>
        </w:tc>
        <w:tc>
          <w:tcPr>
            <w:tcW w:type="dxa" w:w="702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Priorizar educação, assistência, RH, patrimônio, frota e demais áreas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Arquitetura e equipe</w:t>
            </w:r>
          </w:p>
        </w:tc>
        <w:tc>
          <w:tcPr>
            <w:tcW w:type="dxa" w:w="702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Selecionar tecnologia, capacidade, modelo de suporte e financiamento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Observatório imobiliário</w:t>
            </w:r>
          </w:p>
        </w:tc>
        <w:tc>
          <w:tcPr>
            <w:tcW w:type="dxa" w:w="702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Validar fontes, método, licença de uso, qualidade e revisão profissional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Integrações</w:t>
            </w:r>
          </w:p>
        </w:tc>
        <w:tc>
          <w:tcPr>
            <w:tcW w:type="dxa" w:w="702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Confirmar acesso, custos, limites, ambientes e obrigações de cada conector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Pacote comercial</w:t>
            </w:r>
          </w:p>
        </w:tc>
        <w:tc>
          <w:tcPr>
            <w:tcW w:type="dxa" w:w="702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Fechar inclusão, volumes, implantação, SLA e margem sustentável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Saúde e HelpU</w:t>
            </w:r>
          </w:p>
        </w:tc>
        <w:tc>
          <w:tcPr>
            <w:tcW w:type="dxa" w:w="702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Definir integração, oferta separada e eventual modelo institucional de receita</w:t>
            </w:r>
          </w:p>
        </w:tc>
      </w:tr>
      <w:tr>
        <w:trPr>
          <w:cantSplit/>
        </w:trPr>
        <w:tc>
          <w:tcPr>
            <w:tcW w:type="dxa" w:w="3139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Marca Civu</w:t>
            </w:r>
          </w:p>
        </w:tc>
        <w:tc>
          <w:tcPr>
            <w:tcW w:type="dxa" w:w="7027"/>
            <w:vAlign w:val="center"/>
            <w:shd w:fill="F1F5F6"/>
          </w:tcPr>
          <w:p>
            <w:pPr>
              <w:keepNext w:val="0"/>
              <w:spacing w:after="0" w:line="250" w:lineRule="auto"/>
            </w:pPr>
            <w:r>
              <w:rPr>
                <w:b w:val="0"/>
                <w:sz w:val="20"/>
              </w:rPr>
              <w:t>Concluir arquivos finais, domínio e verificação de disponibilidade</w:t>
            </w:r>
          </w:p>
        </w:tc>
      </w:tr>
    </w:tbl>
    <w:p>
      <w:pPr>
        <w:spacing w:after="0"/>
      </w:pPr>
    </w:p>
    <w:p>
      <w:pPr>
        <w:pStyle w:val="Heading2"/>
      </w:pPr>
      <w:r>
        <w:t>O que pedir na revisão do irmão e da outra IA</w:t>
      </w:r>
    </w:p>
    <w:p>
      <w:r>
        <w:rPr>
          <w:b w:val="0"/>
        </w:rPr>
        <w:t>Identificar lacunas de operação municipal; apontar dependências subestimadas; comparar escopo com preço e equipe; questionar promessas sem evidência; sugerir simplificações de experiência e prioridades. Cada sugestão deve preservar as decisões explícitas ou propor sua alteração de forma identificável.</w:t>
      </w:r>
    </w:p>
    <w:p>
      <w:r>
        <w:rPr>
          <w:b w:val="0"/>
        </w:rPr>
        <w:t>Uma resposta de IA ou uma afirmação em documento de pesquisa não confirma legislação, preço, integração ou capacidade implementada. Regras devem ser confrontadas com a fonte primária e com a realidade municipal antes de entrar no produto.</w:t>
      </w:r>
    </w:p>
    <w:p>
      <w:pPr>
        <w:pStyle w:val="Heading2"/>
      </w:pPr>
      <w:r>
        <w:t>Registro de mudanças</w:t>
      </w:r>
    </w:p>
    <w:p>
      <w:r>
        <w:rPr>
          <w:b w:val="0"/>
        </w:rPr>
        <w:t>Nas próximas versões, registrar decisão, motivo, responsável, data, impacto e trecho alterado. Esta versão consolida o entendimento em 29 de outubro de 2026. Nenhuma alteração no código ou nos protótipos foi realizada para produzir este documento.</w:t>
      </w:r>
    </w:p>
    <w:p>
      <w:r>
        <w:br w:type="page"/>
      </w:r>
    </w:p>
    <w:p>
      <w:pPr>
        <w:pStyle w:val="Heading1"/>
      </w:pPr>
      <w:r>
        <w:t>Fontes institucionais e comerciais</w:t>
      </w:r>
    </w:p>
    <w:p>
      <w:pPr>
        <w:spacing w:line="252" w:lineRule="auto"/>
      </w:pPr>
      <w:r>
        <w:rPr>
          <w:b w:val="0"/>
          <w:sz w:val="19"/>
        </w:rPr>
        <w:t>As referências permitem revisar a evidência. Contratos mostram o que foi pactuado; não comprovam execução atual ou satisfação. Páginas de fornecedores mostram funcionalidades anunciadas; não substituem testes. Pesquisa consolidada em 29 de outubro de 2026.</w:t>
      </w:r>
    </w:p>
    <w:p>
      <w:pPr>
        <w:spacing w:after="40"/>
      </w:pPr>
      <w:r>
        <w:rPr>
          <w:b/>
        </w:rPr>
        <w:t xml:space="preserve">S01  </w:t>
      </w:r>
      <w:hyperlink r:id="rId12">
        <w:r>
          <w:rPr>
            <w:color w:val="168779"/>
          </w:rPr>
          <w:t>Vacaria Contrato 85 de 2025</w:t>
        </w:r>
      </w:hyperlink>
    </w:p>
    <w:p>
      <w:pPr>
        <w:spacing w:line="252" w:lineRule="auto" w:after="140"/>
      </w:pPr>
      <w:r>
        <w:rPr>
          <w:b w:val="0"/>
          <w:sz w:val="19"/>
        </w:rPr>
        <w:t>Contrato e tabela de itens do Pregão 10/2025. Base dos valores apresentados.</w:t>
      </w:r>
    </w:p>
    <w:p>
      <w:pPr>
        <w:spacing w:after="40"/>
      </w:pPr>
      <w:r>
        <w:rPr>
          <w:b/>
        </w:rPr>
        <w:t xml:space="preserve">S02  </w:t>
      </w:r>
      <w:hyperlink r:id="rId13">
        <w:r>
          <w:rPr>
            <w:color w:val="168779"/>
          </w:rPr>
          <w:t>Vacaria Arquivo de aditivo</w:t>
        </w:r>
      </w:hyperlink>
    </w:p>
    <w:p>
      <w:pPr>
        <w:spacing w:line="252" w:lineRule="auto" w:after="140"/>
      </w:pPr>
      <w:r>
        <w:rPr>
          <w:b w:val="0"/>
          <w:sz w:val="19"/>
        </w:rPr>
        <w:t>Arquivo público localizado na pesquisa de vigência. Conferir cadeia de alterações e execução atual.</w:t>
      </w:r>
    </w:p>
    <w:p>
      <w:pPr>
        <w:spacing w:after="40"/>
      </w:pPr>
      <w:r>
        <w:rPr>
          <w:b/>
        </w:rPr>
        <w:t xml:space="preserve">S03  </w:t>
      </w:r>
      <w:hyperlink r:id="rId14">
        <w:r>
          <w:rPr>
            <w:color w:val="168779"/>
          </w:rPr>
          <w:t>Vacaria Contrato Kodefy</w:t>
        </w:r>
      </w:hyperlink>
    </w:p>
    <w:p>
      <w:pPr>
        <w:spacing w:line="252" w:lineRule="auto" w:after="140"/>
      </w:pPr>
      <w:r>
        <w:rPr>
          <w:b w:val="0"/>
          <w:sz w:val="19"/>
        </w:rPr>
        <w:t>Registro de contratação; renovação posterior à vigência original não confirmada.</w:t>
      </w:r>
    </w:p>
    <w:p>
      <w:pPr>
        <w:spacing w:after="40"/>
      </w:pPr>
      <w:r>
        <w:rPr>
          <w:b/>
        </w:rPr>
        <w:t xml:space="preserve">S04  </w:t>
      </w:r>
      <w:hyperlink r:id="rId15">
        <w:r>
          <w:rPr>
            <w:color w:val="168779"/>
          </w:rPr>
          <w:t>Vacaria Contrato ServeCenter</w:t>
        </w:r>
      </w:hyperlink>
    </w:p>
    <w:p>
      <w:pPr>
        <w:spacing w:line="252" w:lineRule="auto" w:after="140"/>
      </w:pPr>
      <w:r>
        <w:rPr>
          <w:b w:val="0"/>
          <w:sz w:val="19"/>
        </w:rPr>
        <w:t>Registro de infraestrutura e suporte, distinto de licença municipal.</w:t>
      </w:r>
    </w:p>
    <w:p>
      <w:pPr>
        <w:spacing w:after="40"/>
      </w:pPr>
      <w:r>
        <w:rPr>
          <w:b/>
        </w:rPr>
        <w:t xml:space="preserve">S05  </w:t>
      </w:r>
      <w:hyperlink r:id="rId16">
        <w:r>
          <w:rPr>
            <w:color w:val="168779"/>
          </w:rPr>
          <w:t>1Doc IA no WhatsApp</w:t>
        </w:r>
      </w:hyperlink>
    </w:p>
    <w:p>
      <w:pPr>
        <w:spacing w:line="252" w:lineRule="auto" w:after="140"/>
      </w:pPr>
      <w:r>
        <w:rPr>
          <w:b w:val="0"/>
          <w:sz w:val="19"/>
        </w:rPr>
        <w:t>Declaração comercial do fornecedor sobre atendimento com IA no canal.</w:t>
      </w:r>
    </w:p>
    <w:p>
      <w:pPr>
        <w:spacing w:after="40"/>
      </w:pPr>
      <w:r>
        <w:rPr>
          <w:b/>
        </w:rPr>
        <w:t xml:space="preserve">S06  </w:t>
      </w:r>
      <w:hyperlink r:id="rId17">
        <w:r>
          <w:rPr>
            <w:color w:val="168779"/>
          </w:rPr>
          <w:t>ABASE e Thema Recursos anunciados</w:t>
        </w:r>
      </w:hyperlink>
    </w:p>
    <w:p>
      <w:pPr>
        <w:spacing w:line="252" w:lineRule="auto" w:after="140"/>
      </w:pPr>
      <w:r>
        <w:rPr>
          <w:b w:val="0"/>
          <w:sz w:val="19"/>
        </w:rPr>
        <w:t>Comparação de mercado a partir das páginas dos fornecedores.</w:t>
      </w:r>
    </w:p>
    <w:p>
      <w:pPr>
        <w:spacing w:after="40"/>
      </w:pPr>
      <w:r>
        <w:rPr>
          <w:b/>
        </w:rPr>
        <w:t xml:space="preserve">S07  </w:t>
      </w:r>
      <w:hyperlink r:id="rId18">
        <w:r>
          <w:rPr>
            <w:color w:val="168779"/>
          </w:rPr>
          <w:t>WhatsApp Política de mensagens e uso governamental</w:t>
        </w:r>
      </w:hyperlink>
    </w:p>
    <w:p>
      <w:pPr>
        <w:spacing w:line="252" w:lineRule="auto" w:after="140"/>
      </w:pPr>
      <w:r>
        <w:rPr>
          <w:b w:val="0"/>
          <w:sz w:val="19"/>
        </w:rPr>
        <w:t>Condições do canal e requisitos de uso. Consultar preços vigentes antes de contratar.</w:t>
      </w:r>
    </w:p>
    <w:p>
      <w:pPr>
        <w:spacing w:after="40"/>
      </w:pPr>
      <w:r>
        <w:rPr>
          <w:b/>
        </w:rPr>
        <w:t xml:space="preserve">S08  </w:t>
      </w:r>
      <w:hyperlink r:id="rId19">
        <w:r>
          <w:rPr>
            <w:color w:val="168779"/>
          </w:rPr>
          <w:t>PNCP Documentação e orientações</w:t>
        </w:r>
      </w:hyperlink>
    </w:p>
    <w:p>
      <w:pPr>
        <w:spacing w:line="252" w:lineRule="auto" w:after="140"/>
      </w:pPr>
      <w:r>
        <w:rPr>
          <w:b w:val="0"/>
          <w:sz w:val="19"/>
        </w:rPr>
        <w:t>Referência de publicação e integração; validar credenciamento e versões.</w:t>
      </w:r>
    </w:p>
    <w:p>
      <w:pPr>
        <w:spacing w:after="40"/>
      </w:pPr>
      <w:r>
        <w:rPr>
          <w:b/>
        </w:rPr>
        <w:t xml:space="preserve">S09  </w:t>
      </w:r>
      <w:hyperlink r:id="rId20">
        <w:r>
          <w:rPr>
            <w:color w:val="168779"/>
          </w:rPr>
          <w:t>NFS e Documentação técnica</w:t>
        </w:r>
      </w:hyperlink>
    </w:p>
    <w:p>
      <w:pPr>
        <w:spacing w:line="252" w:lineRule="auto" w:after="140"/>
      </w:pPr>
      <w:r>
        <w:rPr>
          <w:b w:val="0"/>
          <w:sz w:val="19"/>
        </w:rPr>
        <w:t>Ambiente nacional e documentos de integração.</w:t>
      </w:r>
    </w:p>
    <w:p>
      <w:pPr>
        <w:spacing w:line="252" w:lineRule="auto"/>
      </w:pPr>
      <w:r>
        <w:rPr>
          <w:b w:val="0"/>
          <w:sz w:val="19"/>
        </w:rPr>
        <w:t xml:space="preserve">Complementos de S06: </w:t>
      </w:r>
    </w:p>
    <w:p>
      <w:hyperlink r:id="rId21">
        <w:r>
          <w:rPr>
            <w:color w:val="168779"/>
          </w:rPr>
          <w:t>ABASE Portal do fornecedor</w:t>
        </w:r>
      </w:hyperlink>
      <w:r>
        <w:t xml:space="preserve">  •  </w:t>
      </w:r>
      <w:hyperlink r:id="rId22">
        <w:r>
          <w:rPr>
            <w:color w:val="168779"/>
          </w:rPr>
          <w:t>Thema Gestão de materiais</w:t>
        </w:r>
      </w:hyperlink>
    </w:p>
    <w:p>
      <w:pPr>
        <w:spacing w:line="252" w:lineRule="auto"/>
      </w:pPr>
      <w:r>
        <w:rPr>
          <w:b w:val="0"/>
          <w:sz w:val="19"/>
        </w:rPr>
        <w:t xml:space="preserve">Complemento de S07: </w:t>
      </w:r>
    </w:p>
    <w:p>
      <w:hyperlink r:id="rId23">
        <w:r>
          <w:rPr>
            <w:color w:val="168779"/>
          </w:rPr>
          <w:t>WhatsApp Preços da plataforma</w:t>
        </w:r>
      </w:hyperlink>
    </w:p>
    <w:p>
      <w:r>
        <w:br w:type="page"/>
      </w:r>
    </w:p>
    <w:p>
      <w:pPr>
        <w:pStyle w:val="Heading1"/>
      </w:pPr>
      <w:r>
        <w:t>Fontes normativas e materiais do projeto</w:t>
      </w:r>
    </w:p>
    <w:p>
      <w:pPr>
        <w:spacing w:after="40"/>
      </w:pPr>
      <w:r>
        <w:rPr>
          <w:b/>
        </w:rPr>
        <w:t xml:space="preserve">S10  </w:t>
      </w:r>
      <w:hyperlink r:id="rId24">
        <w:r>
          <w:rPr>
            <w:color w:val="168779"/>
          </w:rPr>
          <w:t>gov.br Solicitação de integração</w:t>
        </w:r>
      </w:hyperlink>
    </w:p>
    <w:p>
      <w:pPr>
        <w:spacing w:line="252" w:lineRule="auto" w:after="140"/>
      </w:pPr>
      <w:r>
        <w:rPr>
          <w:b w:val="0"/>
          <w:sz w:val="19"/>
        </w:rPr>
        <w:t>Canal oficial para avaliar integração de serviços à identidade gov.br.</w:t>
      </w:r>
    </w:p>
    <w:p>
      <w:pPr>
        <w:spacing w:after="40"/>
      </w:pPr>
      <w:r>
        <w:rPr>
          <w:b/>
        </w:rPr>
        <w:t xml:space="preserve">S11  </w:t>
      </w:r>
      <w:hyperlink r:id="rId25">
        <w:r>
          <w:rPr>
            <w:color w:val="168779"/>
          </w:rPr>
          <w:t>Receita Federal SINTER e CIB</w:t>
        </w:r>
      </w:hyperlink>
    </w:p>
    <w:p>
      <w:pPr>
        <w:spacing w:line="252" w:lineRule="auto" w:after="140"/>
      </w:pPr>
      <w:r>
        <w:rPr>
          <w:b w:val="0"/>
          <w:sz w:val="19"/>
        </w:rPr>
        <w:t>Perguntas frequentes, identificação cadastral e prazo informado para demais imóveis.</w:t>
      </w:r>
    </w:p>
    <w:p>
      <w:pPr>
        <w:spacing w:after="40"/>
      </w:pPr>
      <w:r>
        <w:rPr>
          <w:b/>
        </w:rPr>
        <w:t xml:space="preserve">S12  </w:t>
      </w:r>
      <w:hyperlink r:id="rId26">
        <w:r>
          <w:rPr>
            <w:color w:val="168779"/>
          </w:rPr>
          <w:t>Código Tributário Nacional atualizado</w:t>
        </w:r>
      </w:hyperlink>
    </w:p>
    <w:p>
      <w:pPr>
        <w:spacing w:line="252" w:lineRule="auto" w:after="140"/>
      </w:pPr>
      <w:r>
        <w:rPr>
          <w:b w:val="0"/>
          <w:sz w:val="19"/>
        </w:rPr>
        <w:t>Texto atualizado, incluindo alterações da LC 227/2026 no ITBI.</w:t>
      </w:r>
    </w:p>
    <w:p>
      <w:pPr>
        <w:spacing w:after="40"/>
      </w:pPr>
      <w:r>
        <w:rPr>
          <w:b/>
        </w:rPr>
        <w:t xml:space="preserve">S13  </w:t>
      </w:r>
      <w:hyperlink r:id="rId27">
        <w:r>
          <w:rPr>
            <w:color w:val="168779"/>
          </w:rPr>
          <w:t>Fipe Índice FipeZap</w:t>
        </w:r>
      </w:hyperlink>
    </w:p>
    <w:p>
      <w:pPr>
        <w:spacing w:line="252" w:lineRule="auto" w:after="140"/>
      </w:pPr>
      <w:r>
        <w:rPr>
          <w:b w:val="0"/>
          <w:sz w:val="19"/>
        </w:rPr>
        <w:t>Referência sobre índices de preços anunciados; não comprova cobertura de Vacaria.</w:t>
      </w:r>
    </w:p>
    <w:p>
      <w:pPr>
        <w:spacing w:after="40"/>
      </w:pPr>
      <w:r>
        <w:rPr>
          <w:b/>
        </w:rPr>
        <w:t xml:space="preserve">S14  </w:t>
      </w:r>
      <w:hyperlink r:id="rId28">
        <w:r>
          <w:rPr>
            <w:color w:val="168779"/>
          </w:rPr>
          <w:t>ANPD Tratamento de dados pelo poder público</w:t>
        </w:r>
      </w:hyperlink>
    </w:p>
    <w:p>
      <w:pPr>
        <w:spacing w:line="252" w:lineRule="auto" w:after="140"/>
      </w:pPr>
      <w:r>
        <w:rPr>
          <w:b w:val="0"/>
          <w:sz w:val="19"/>
        </w:rPr>
        <w:t>Guia para finalidades, compartilhamento e responsabilidades.</w:t>
      </w:r>
    </w:p>
    <w:p>
      <w:pPr>
        <w:spacing w:after="40"/>
      </w:pPr>
      <w:r>
        <w:rPr>
          <w:b/>
        </w:rPr>
        <w:t xml:space="preserve">S15  </w:t>
      </w:r>
      <w:hyperlink r:id="rId29">
        <w:r>
          <w:rPr>
            <w:color w:val="168779"/>
          </w:rPr>
          <w:t>LC 182 de 2021</w:t>
        </w:r>
      </w:hyperlink>
    </w:p>
    <w:p>
      <w:pPr>
        <w:spacing w:line="252" w:lineRule="auto" w:after="140"/>
      </w:pPr>
      <w:r>
        <w:rPr>
          <w:b w:val="0"/>
          <w:sz w:val="19"/>
        </w:rPr>
        <w:t>Regras legais de seleção, teste e fornecimento posterior no CPSI.</w:t>
      </w:r>
    </w:p>
    <w:p>
      <w:pPr>
        <w:spacing w:after="40"/>
      </w:pPr>
      <w:r>
        <w:rPr>
          <w:b/>
        </w:rPr>
        <w:t xml:space="preserve">S16  </w:t>
      </w:r>
      <w:hyperlink r:id="rId30">
        <w:r>
          <w:rPr>
            <w:color w:val="168779"/>
          </w:rPr>
          <w:t>AGU Manual do CPSI</w:t>
        </w:r>
      </w:hyperlink>
    </w:p>
    <w:p>
      <w:pPr>
        <w:spacing w:line="252" w:lineRule="auto" w:after="140"/>
      </w:pPr>
      <w:r>
        <w:rPr>
          <w:b w:val="0"/>
          <w:sz w:val="19"/>
        </w:rPr>
        <w:t>Referência institucional para planejamento e estruturação do instrumento.</w:t>
      </w:r>
    </w:p>
    <w:p>
      <w:pPr>
        <w:spacing w:after="40"/>
      </w:pPr>
      <w:r>
        <w:rPr>
          <w:b/>
        </w:rPr>
        <w:t xml:space="preserve">S17  </w:t>
      </w:r>
      <w:hyperlink r:id="rId31">
        <w:r>
          <w:rPr>
            <w:color w:val="168779"/>
          </w:rPr>
          <w:t>Decreto 10 540 de 2020</w:t>
        </w:r>
      </w:hyperlink>
    </w:p>
    <w:p>
      <w:pPr>
        <w:spacing w:line="252" w:lineRule="auto" w:after="140"/>
      </w:pPr>
      <w:r>
        <w:rPr>
          <w:b w:val="0"/>
          <w:sz w:val="19"/>
        </w:rPr>
        <w:t>Padrão mínimo do SIAFIC; consultar alterações e normas complementares.</w:t>
      </w:r>
    </w:p>
    <w:p>
      <w:pPr>
        <w:spacing w:after="40"/>
      </w:pPr>
      <w:r>
        <w:rPr>
          <w:b/>
        </w:rPr>
        <w:t xml:space="preserve">S18  </w:t>
      </w:r>
      <w:hyperlink r:id="rId32">
        <w:r>
          <w:rPr>
            <w:color w:val="168779"/>
          </w:rPr>
          <w:t>TCE RS LicitaCon</w:t>
        </w:r>
      </w:hyperlink>
    </w:p>
    <w:p>
      <w:pPr>
        <w:spacing w:line="252" w:lineRule="auto" w:after="140"/>
      </w:pPr>
      <w:r>
        <w:rPr>
          <w:b w:val="0"/>
          <w:sz w:val="19"/>
        </w:rPr>
        <w:t>Referência estadual; confirmar leiautes e remessas aplicáveis.</w:t>
      </w:r>
    </w:p>
    <w:p>
      <w:pPr>
        <w:spacing w:after="40"/>
      </w:pPr>
      <w:r>
        <w:rPr>
          <w:b/>
        </w:rPr>
        <w:t xml:space="preserve">S19  </w:t>
      </w:r>
      <w:hyperlink r:id="rId33">
        <w:r>
          <w:rPr>
            <w:color w:val="168779"/>
          </w:rPr>
          <w:t>Pescaria Brava Contratações homologadas</w:t>
        </w:r>
      </w:hyperlink>
    </w:p>
    <w:p>
      <w:pPr>
        <w:spacing w:line="252" w:lineRule="auto" w:after="140"/>
      </w:pPr>
      <w:r>
        <w:rPr>
          <w:b w:val="0"/>
          <w:sz w:val="19"/>
        </w:rPr>
        <w:t>Registro consultado do PA 68/2025 com valor global, não mensal.</w:t>
      </w:r>
    </w:p>
    <w:p>
      <w:pPr>
        <w:pStyle w:val="Heading2"/>
      </w:pPr>
      <w:r>
        <w:t>Materiais internos considerados</w:t>
      </w:r>
    </w:p>
    <w:p>
      <w:pPr>
        <w:spacing w:line="252" w:lineRule="auto"/>
      </w:pPr>
      <w:r>
        <w:rPr>
          <w:b w:val="0"/>
          <w:sz w:val="19"/>
        </w:rPr>
      </w:r>
      <w:r>
        <w:rPr>
          <w:b/>
          <w:sz w:val="19"/>
        </w:rPr>
        <w:t>M01</w:t>
      </w:r>
      <w:r>
        <w:rPr>
          <w:b w:val="0"/>
          <w:sz w:val="19"/>
        </w:rPr>
        <w:t xml:space="preserve"> Sistema de Gestão Administrativa Municipal — Esboço, PDF de 28 páginas. </w:t>
      </w:r>
      <w:r>
        <w:rPr>
          <w:b/>
          <w:sz w:val="19"/>
        </w:rPr>
        <w:t>M02</w:t>
      </w:r>
      <w:r>
        <w:rPr>
          <w:b w:val="0"/>
          <w:sz w:val="19"/>
        </w:rPr>
        <w:t xml:space="preserve"> Trâmite × 1Doc — como superar, HTML. Ambos enviados pelo usuário e tratados como estudos, sem presumir validação de todas as suas afirmações.</w:t>
      </w:r>
    </w:p>
    <w:p>
      <w:pPr>
        <w:spacing w:line="252" w:lineRule="auto"/>
      </w:pPr>
      <w:r>
        <w:rPr>
          <w:b w:val="0"/>
          <w:sz w:val="19"/>
        </w:rPr>
      </w:r>
      <w:r>
        <w:rPr>
          <w:b/>
          <w:sz w:val="19"/>
        </w:rPr>
        <w:t>M03</w:t>
      </w:r>
      <w:r>
        <w:rPr>
          <w:b w:val="0"/>
          <w:sz w:val="19"/>
        </w:rPr>
        <w:t xml:space="preserve"> Conversa do projeto e estudo visual Civu fornecido pelo usuário. </w:t>
      </w:r>
      <w:r>
        <w:rPr>
          <w:b/>
          <w:sz w:val="19"/>
        </w:rPr>
        <w:t>M04</w:t>
      </w:r>
      <w:r>
        <w:rPr>
          <w:b w:val="0"/>
          <w:sz w:val="19"/>
        </w:rPr>
        <w:t xml:space="preserve"> Protótipo HTML da central de integrações e módulos conectados, inspecionado como demonstração local. Dados, logins e retornos externos de exemplo não são operações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50" w:left="1037" w:header="418" w:footer="4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66" w:val="right"/>
      </w:tabs>
    </w:pPr>
    <w:r>
      <w:t>29 OUT 2026  |  BASE PARA ANÁLISE CONJUNTA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166" w:val="right"/>
      </w:tabs>
    </w:pPr>
    <w:r>
      <w:t>CIVU  |  DOCUMENTO MESTRE DO PRODUTO</w:t>
      <w:tab/>
      <w:t>VERSÃO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Calibri" w:hAnsi="Calibri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Calibri" w:hAnsi="Calibri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vacaria.rs.gov.br/public/admin/globalarq/contrato/arquivo/BjEAZl4xGDaqgMbwFHyHQaO8TrDfTY.pdf" TargetMode="External"/><Relationship Id="rId13" Type="http://schemas.openxmlformats.org/officeDocument/2006/relationships/hyperlink" Target="https://webapp1-vacaria.cidade360.cloud/pronimtb/upload/licitacoes/2025_1740_1_34627.zip" TargetMode="External"/><Relationship Id="rId14" Type="http://schemas.openxmlformats.org/officeDocument/2006/relationships/hyperlink" Target="https://www.vacaria.rs.gov.br/contrato/download/128/" TargetMode="External"/><Relationship Id="rId15" Type="http://schemas.openxmlformats.org/officeDocument/2006/relationships/hyperlink" Target="https://www.vacaria.rs.gov.br/contrato/download/8/" TargetMode="External"/><Relationship Id="rId16" Type="http://schemas.openxmlformats.org/officeDocument/2006/relationships/hyperlink" Target="https://go.1doc.com.br/lp-publico-demo-whats-ai/" TargetMode="External"/><Relationship Id="rId17" Type="http://schemas.openxmlformats.org/officeDocument/2006/relationships/hyperlink" Target="https://www.abase.com.br/7663/sem-categoria/compras-e-licitacoes-das-prefeituras-tornam-se-mais-faceis-com-o-gespamweb/" TargetMode="External"/><Relationship Id="rId18" Type="http://schemas.openxmlformats.org/officeDocument/2006/relationships/hyperlink" Target="https://whatsappbusiness.com/policy/" TargetMode="External"/><Relationship Id="rId19" Type="http://schemas.openxmlformats.org/officeDocument/2006/relationships/hyperlink" Target="https://pncp.gov.br/manual/pt-br/latest/singlehtml/index.html" TargetMode="External"/><Relationship Id="rId20" Type="http://schemas.openxmlformats.org/officeDocument/2006/relationships/hyperlink" Target="https://www.gov.br/nfse/pt-br/biblioteca/documentacao-tecnica" TargetMode="External"/><Relationship Id="rId21" Type="http://schemas.openxmlformats.org/officeDocument/2006/relationships/hyperlink" Target="https://www.abase.com.br/7649/tecnologia/gespamweb-lanca-portal-do-fornecedor/" TargetMode="External"/><Relationship Id="rId22" Type="http://schemas.openxmlformats.org/officeDocument/2006/relationships/hyperlink" Target="https://www.thema.inf.br/gestao-de-materiais/" TargetMode="External"/><Relationship Id="rId23" Type="http://schemas.openxmlformats.org/officeDocument/2006/relationships/hyperlink" Target="https://business.whatsapp.com/products/platform-pricing" TargetMode="External"/><Relationship Id="rId24" Type="http://schemas.openxmlformats.org/officeDocument/2006/relationships/hyperlink" Target="https://www.gov.br/governodigital/pt-br/identidade/identidade-digital-para-gestores-publicos/duvidas-frequentes-do-ecossistema-da-identidade-digital-gov-br/como-integrar" TargetMode="External"/><Relationship Id="rId25" Type="http://schemas.openxmlformats.org/officeDocument/2006/relationships/hyperlink" Target="https://www.gov.br/receitafederal/pt-br/acesso-a-informacao/acoes-e-programas/programas-e-atividades/sinter/entenda" TargetMode="External"/><Relationship Id="rId26" Type="http://schemas.openxmlformats.org/officeDocument/2006/relationships/hyperlink" Target="https://www2.camara.leg.br/legin/fed/lei/1960-1969/lei-5172-25-outubro-1966-358971-normaatualizada-pl.html" TargetMode="External"/><Relationship Id="rId27" Type="http://schemas.openxmlformats.org/officeDocument/2006/relationships/hyperlink" Target="https://www.fipe.org.br/pt-br/indices/fipezap" TargetMode="External"/><Relationship Id="rId28" Type="http://schemas.openxmlformats.org/officeDocument/2006/relationships/hyperlink" Target="https://www.gov.br/anpd/pt-br/centrais-de-conteudo/materiais-educativos-e-publicacoes/guia-poder-publico-anpd-versao-final.pdf/@@download/file" TargetMode="External"/><Relationship Id="rId29" Type="http://schemas.openxmlformats.org/officeDocument/2006/relationships/hyperlink" Target="https://www2.camara.leg.br/legin/fed/leicom/2021/leicomplementar-182-1-junho-2021-791408-publicacaooriginal-162919-pl.html" TargetMode="External"/><Relationship Id="rId30" Type="http://schemas.openxmlformats.org/officeDocument/2006/relationships/hyperlink" Target="https://www.gov.br/agu/pt-br/assuntos-1/labori/minutas/manual-do-contrato-publico-para-solucao-inovadora.pdf" TargetMode="External"/><Relationship Id="rId31" Type="http://schemas.openxmlformats.org/officeDocument/2006/relationships/hyperlink" Target="https://www.planalto.gov.br/ccivil_03/_ato2019-2022/2020/decreto/d10540.htm" TargetMode="External"/><Relationship Id="rId32" Type="http://schemas.openxmlformats.org/officeDocument/2006/relationships/hyperlink" Target="https://tcers.tc.br/sistemas-de-controle-externo/" TargetMode="External"/><Relationship Id="rId33" Type="http://schemas.openxmlformats.org/officeDocument/2006/relationships/hyperlink" Target="https://pescariabrava.sc.gov.br/licitacoes/page/3/?_modalidade=Inexigibilidade&amp;_status=homolog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Civu Documento mestre do produto</dc:title>
  <dc:subject>Consolidação de visão escopo decisões pesquisa e plano de desenvolvimento</dc:subject>
  <dc:creator>Projeto Civu</dc:creator>
  <cp:keywords>Civu, gestão municipal, Vacaria, produto, consolidação</cp:keywords>
  <dc:description>Versão 1.0 de 29 de outubro de 2026. Documento para análise conjunta. Não altera o protótipo.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