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39: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Árvore após inserir elementos sem balancear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7812" cy="41178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812" cy="411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Elemento 10 no caso LL.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Elemento 9 no caso 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Elemento 8 no caso 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Elemento 8,5 no caso LR.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Inserindo elemento 10: elemento 14 fica com fator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Inserindo elemento 9: elemento 14 fica com fator 3. Elemento 12 com fator 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Inserindo elemento 8: elemento 14 fica com fator 4. Elemento 12 com fator 3 e elemento 11 com fator 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Inserindo elemento 8,5: elemento 14 fica com fator 5. Elemento 12 com fator 4. Elemento 11 com fator 3 e elemento 8 com fator 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Executar LR no elemento 9.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Executar RL no elemento 8.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Executar LL no elemento 10.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Executar LL no elemento 11.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Executar LL no elemento 12.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Executar LL no elemento 14.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e 5: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64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Slide 41: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6844" cy="16984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44" cy="1698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2: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8813" cy="24872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813" cy="2487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