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>
      <w:pPr>
        <w:pStyle w:val="Ttulo1"/>
      </w:pPr>
      <w:r>
        <w:t>portal economundi</w:t>
      </w:r>
    </w:p>
    <w:p w14:paraId="3AC40941" w14:textId="77777777" w:rsidR="006E5425" w:rsidRPr="00DE496E" w:rsidRDefault="006D59CC">
      <w:pPr>
        <w:pStyle w:val="Ttulo2"/>
      </w:pPr>
      <w:r w:rsidRPr="00DE496E">
        <w:t>Requisitos Funcionais</w:t>
      </w:r>
    </w:p>
    <w:p w14:paraId="3AC40942" w14:textId="77777777" w:rsidR="0082226E" w:rsidRDefault="0082226E" w:rsidP="0082226E">
      <w:pPr>
        <w:rPr>
          <w:b/>
        </w:rPr>
      </w:pPr>
    </w:p>
    <w:p w14:paraId="3AC40943" w14:textId="1290DF75" w:rsidR="000F39C8" w:rsidRDefault="000F39C8" w:rsidP="000F39C8">
      <w:pPr>
        <w:pStyle w:val="Ttulo3"/>
        <w:numPr>
          <w:ilvl w:val="1"/>
          <w:numId w:val="4"/>
        </w:numPr>
      </w:pPr>
      <w:r>
        <w:t>Módulo Acesso</w:t>
      </w:r>
    </w:p>
    <w:p w14:paraId="5AD94905" w14:textId="2C68C337" w:rsidR="0072116C" w:rsidRPr="0072116C" w:rsidRDefault="0072116C" w:rsidP="0072116C">
      <w:pPr>
        <w:ind w:left="360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às funcionalidades para controle de acesso ao Portal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EconoMundi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bookmarkEnd w:id="0"/>
    <w:p w14:paraId="1CC20729" w14:textId="77777777" w:rsidR="000F4CAB" w:rsidRDefault="000F4CAB" w:rsidP="000F39C8">
      <w:pPr>
        <w:pStyle w:val="PargrafodaLista"/>
        <w:ind w:left="360"/>
      </w:pPr>
    </w:p>
    <w:p w14:paraId="5A1E7D6A" w14:textId="13453C22" w:rsidR="0072116C" w:rsidRPr="00A65A66" w:rsidRDefault="00ED66B2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A65A6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6B9640B8" w:rsidR="009D3644" w:rsidRDefault="00A65A66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Visando manter a segurança do sistema, para efetuar a recuperação, ele deve informar (1) e-mail cadastrado. Na sequência, se e-mail informado é válido, um e-mail informativo com a senha atual é enviado ao usuário.</w:t>
      </w:r>
    </w:p>
    <w:p w14:paraId="7E3DD631" w14:textId="254EFFAD" w:rsidR="00FF21AF" w:rsidRDefault="00FF21AF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7EE8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7EE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7EE8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0F39C8">
      <w:pPr>
        <w:pStyle w:val="PargrafodaLista"/>
        <w:ind w:left="360"/>
      </w:pPr>
    </w:p>
    <w:p w14:paraId="3AC40945" w14:textId="71D0CBEB" w:rsidR="000F39C8" w:rsidRDefault="000F39C8" w:rsidP="000F39C8">
      <w:pPr>
        <w:pStyle w:val="Ttulo3"/>
        <w:numPr>
          <w:ilvl w:val="1"/>
          <w:numId w:val="4"/>
        </w:numPr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A787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1138A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 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0477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4466EE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1F0BC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77777777" w:rsidR="00A16E1F" w:rsidRDefault="00AC6E28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36A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3604B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DD09D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36AA">
      <w:pPr>
        <w:pStyle w:val="PargrafodaLista"/>
        <w:ind w:left="360"/>
        <w:rPr>
          <w:rFonts w:asciiTheme="majorHAnsi" w:hAnsiTheme="majorHAnsi"/>
          <w:sz w:val="20"/>
        </w:rPr>
      </w:pPr>
    </w:p>
    <w:p w14:paraId="71930181" w14:textId="1BA03E18" w:rsidR="0044159A" w:rsidRDefault="0044159A" w:rsidP="0044159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44159A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E07EB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E07EB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FB6493">
      <w:pPr>
        <w:pStyle w:val="Ttulo3"/>
        <w:numPr>
          <w:ilvl w:val="1"/>
          <w:numId w:val="4"/>
        </w:numPr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C73A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C73ACE"/>
    <w:p w14:paraId="48389B48" w14:textId="34288D76" w:rsidR="00FB6493" w:rsidRDefault="00C73ACE" w:rsidP="00552E7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7EB64661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552E7D">
      <w:pPr>
        <w:pStyle w:val="PargrafodaLista"/>
        <w:ind w:left="360"/>
        <w:rPr>
          <w:rFonts w:asciiTheme="majorHAnsi" w:hAnsiTheme="majorHAnsi"/>
          <w:sz w:val="20"/>
        </w:rPr>
      </w:pPr>
    </w:p>
    <w:p w14:paraId="76B0FA15" w14:textId="17DA96B3" w:rsidR="00927156" w:rsidRDefault="00927156" w:rsidP="0092715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55B9DB10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26115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F667F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F667F4">
      <w:pPr>
        <w:pStyle w:val="Ttulo3"/>
        <w:numPr>
          <w:ilvl w:val="1"/>
          <w:numId w:val="4"/>
        </w:numPr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5651C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Buscar palavras no dicionário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procurar por palavras no dicionário.</w:t>
      </w:r>
    </w:p>
    <w:p w14:paraId="69F01539" w14:textId="4D8A8B52" w:rsidR="00022512" w:rsidRDefault="00275FF7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AA6FFB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solicitar modificações na explicação de um determinado termo encontrado no dicionário.</w:t>
      </w:r>
    </w:p>
    <w:p w14:paraId="35792294" w14:textId="3EC6FEFD" w:rsidR="00032E5D" w:rsidRDefault="004E2AEA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44282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18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1645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cadastrar palavras que ainda não estão no dicionário.</w:t>
      </w:r>
    </w:p>
    <w:p w14:paraId="530E957B" w14:textId="145B2E50" w:rsidR="00442820" w:rsidRDefault="0016455D" w:rsidP="00DD63A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DD63A8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E86674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19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34751F1D" w:rsidR="00E86674" w:rsidRDefault="00E86674" w:rsidP="00E8667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03946B4" w14:textId="374AB9C6" w:rsidR="00176511" w:rsidRDefault="00176511" w:rsidP="00176511">
      <w:pPr>
        <w:pStyle w:val="Ttulo3"/>
        <w:numPr>
          <w:ilvl w:val="1"/>
          <w:numId w:val="4"/>
        </w:numPr>
      </w:pPr>
      <w:r>
        <w:lastRenderedPageBreak/>
        <w:t xml:space="preserve">Módulo </w:t>
      </w:r>
      <w:r w:rsidR="00E6153C">
        <w:t>Simulações</w:t>
      </w:r>
    </w:p>
    <w:p w14:paraId="00D6CC7C" w14:textId="580909B0" w:rsidR="00E6153C" w:rsidRDefault="00E6153C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Default="000445D5" w:rsidP="000445D5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20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337965">
        <w:rPr>
          <w:rFonts w:asciiTheme="majorHAnsi" w:hAnsiTheme="majorHAnsi"/>
          <w:sz w:val="20"/>
        </w:rPr>
        <w:t>Simular investimentos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B60549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1924DEC0" w14:textId="45F225B0" w:rsidR="00FD0421" w:rsidRDefault="00FD0421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simular investimentos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59CB5C9" w14:textId="24C0B3D5" w:rsidR="00FD0421" w:rsidRDefault="005D0135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E86674">
      <w:pPr>
        <w:pStyle w:val="PargrafodaLista"/>
        <w:ind w:left="360"/>
        <w:rPr>
          <w:rFonts w:asciiTheme="majorHAnsi" w:hAnsiTheme="majorHAnsi"/>
          <w:sz w:val="20"/>
        </w:rPr>
      </w:pPr>
    </w:p>
    <w:p w14:paraId="1EE44556" w14:textId="0D4CF16C" w:rsidR="00AE390C" w:rsidRDefault="00AE390C" w:rsidP="00AE390C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8E514D"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8E514D">
        <w:rPr>
          <w:rFonts w:asciiTheme="majorHAnsi" w:hAnsiTheme="majorHAnsi"/>
          <w:sz w:val="20"/>
        </w:rPr>
        <w:t>Guardar</w:t>
      </w:r>
      <w:r>
        <w:rPr>
          <w:rFonts w:asciiTheme="majorHAnsi" w:hAnsiTheme="majorHAnsi"/>
          <w:sz w:val="20"/>
        </w:rPr>
        <w:t xml:space="preserve"> </w:t>
      </w:r>
      <w:r w:rsidR="008E514D">
        <w:rPr>
          <w:rFonts w:asciiTheme="majorHAnsi" w:hAnsiTheme="majorHAnsi"/>
          <w:sz w:val="20"/>
        </w:rPr>
        <w:t>simulações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03C869E3" w14:textId="63BCFBAD" w:rsidR="008E514D" w:rsidRDefault="008E514D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guardar simulações 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investimentos.</w:t>
      </w:r>
    </w:p>
    <w:p w14:paraId="6F0CF776" w14:textId="7911CA29" w:rsidR="008E514D" w:rsidRDefault="002D4C5B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Default="00D10B70" w:rsidP="00D10B7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F8486B">
        <w:rPr>
          <w:rFonts w:asciiTheme="majorHAnsi" w:hAnsiTheme="majorHAnsi"/>
          <w:sz w:val="20"/>
        </w:rPr>
        <w:t>2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AC58B4">
        <w:rPr>
          <w:rFonts w:asciiTheme="majorHAnsi" w:hAnsiTheme="majorHAnsi"/>
          <w:sz w:val="20"/>
        </w:rPr>
        <w:t>Quantificar quais</w:t>
      </w:r>
      <w:r>
        <w:rPr>
          <w:rFonts w:asciiTheme="majorHAnsi" w:hAnsiTheme="majorHAnsi"/>
          <w:sz w:val="20"/>
        </w:rPr>
        <w:t xml:space="preserve"> simulações</w:t>
      </w:r>
      <w:r w:rsidR="00AC58B4">
        <w:rPr>
          <w:rFonts w:asciiTheme="majorHAnsi" w:hAnsiTheme="majorHAnsi"/>
          <w:sz w:val="20"/>
        </w:rPr>
        <w:t xml:space="preserve"> estão sendo mais realizadas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2ED0A15" w14:textId="058873D8" w:rsidR="00AC58B4" w:rsidRDefault="00AC58B4" w:rsidP="00AC58B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E11DF8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Default="00E533F7" w:rsidP="00E533F7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22 </w:t>
      </w:r>
      <w:r w:rsidRPr="00827EE8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0D0C71">
        <w:rPr>
          <w:rFonts w:asciiTheme="majorHAnsi" w:hAnsiTheme="majorHAnsi"/>
          <w:sz w:val="20"/>
        </w:rPr>
        <w:t xml:space="preserve">Acompanhar os índices </w:t>
      </w:r>
      <w:r w:rsidRPr="00827EE8">
        <w:rPr>
          <w:rFonts w:asciiTheme="majorHAnsi" w:hAnsiTheme="majorHAnsi"/>
          <w:sz w:val="20"/>
        </w:rPr>
        <w:t>(</w:t>
      </w:r>
      <w:r w:rsidR="004B584F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60A2003E" w14:textId="114585C1" w:rsidR="005C2C01" w:rsidRPr="00426C7C" w:rsidRDefault="004B584F" w:rsidP="00426C7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</w:t>
      </w:r>
      <w:bookmarkStart w:id="1" w:name="_GoBack"/>
      <w:bookmarkEnd w:id="1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ou não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6D59CC">
      <w:pPr>
        <w:pStyle w:val="Ttulo2"/>
      </w:pPr>
      <w:r w:rsidRPr="00DE496E">
        <w:lastRenderedPageBreak/>
        <w:t>Requisitos não-Funcionais</w:t>
      </w:r>
    </w:p>
    <w:p w14:paraId="3AC40949" w14:textId="77777777" w:rsidR="006D59CC" w:rsidRDefault="006D59CC" w:rsidP="006D59CC">
      <w:pPr>
        <w:pStyle w:val="Ttulo3"/>
      </w:pPr>
    </w:p>
    <w:p w14:paraId="3AC4094A" w14:textId="77777777" w:rsidR="006D59CC" w:rsidRDefault="006D59CC" w:rsidP="006D59CC">
      <w:pPr>
        <w:pStyle w:val="Ttulo3"/>
      </w:pPr>
      <w:r>
        <w:t>2.1 Produto</w:t>
      </w:r>
    </w:p>
    <w:p w14:paraId="3AC4094B" w14:textId="77777777" w:rsidR="006D59CC" w:rsidRDefault="006D59CC" w:rsidP="006D59CC">
      <w:pPr>
        <w:pStyle w:val="Ttulo3"/>
      </w:pPr>
    </w:p>
    <w:p w14:paraId="3AC4094C" w14:textId="77777777" w:rsidR="006D59CC" w:rsidRDefault="006D59CC" w:rsidP="006D59CC">
      <w:pPr>
        <w:pStyle w:val="Ttulo3"/>
      </w:pPr>
      <w:r>
        <w:t>2.2 Organizacional</w:t>
      </w:r>
    </w:p>
    <w:p w14:paraId="3AC4094D" w14:textId="77777777" w:rsidR="006D59CC" w:rsidRDefault="006D59CC" w:rsidP="006D59CC">
      <w:pPr>
        <w:pStyle w:val="Ttulo3"/>
      </w:pPr>
    </w:p>
    <w:p w14:paraId="3AC4094E" w14:textId="77777777" w:rsidR="006D59CC" w:rsidRPr="00917F8D" w:rsidRDefault="006D59CC" w:rsidP="006D59CC">
      <w:pPr>
        <w:pStyle w:val="Ttulo3"/>
      </w:pPr>
      <w:r>
        <w:t xml:space="preserve">2.3 Externo </w:t>
      </w:r>
    </w:p>
    <w:p w14:paraId="3AC4094F" w14:textId="77777777" w:rsidR="006E5425" w:rsidRPr="002C5A42" w:rsidRDefault="006D59CC">
      <w:pPr>
        <w:pStyle w:val="Ttulo1"/>
      </w:pPr>
      <w:r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B57DE" w14:textId="77777777" w:rsidR="0043340E" w:rsidRDefault="0043340E">
      <w:pPr>
        <w:spacing w:after="0" w:line="240" w:lineRule="auto"/>
      </w:pPr>
      <w:r>
        <w:separator/>
      </w:r>
    </w:p>
  </w:endnote>
  <w:endnote w:type="continuationSeparator" w:id="0">
    <w:p w14:paraId="2D4C5C77" w14:textId="77777777" w:rsidR="0043340E" w:rsidRDefault="0043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BCB8" w14:textId="77777777" w:rsidR="0043340E" w:rsidRDefault="0043340E">
      <w:pPr>
        <w:spacing w:after="0" w:line="240" w:lineRule="auto"/>
      </w:pPr>
      <w:r>
        <w:separator/>
      </w:r>
    </w:p>
  </w:footnote>
  <w:footnote w:type="continuationSeparator" w:id="0">
    <w:p w14:paraId="1CE6066D" w14:textId="77777777" w:rsidR="0043340E" w:rsidRDefault="0043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03E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F03E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F0185"/>
    <w:rsid w:val="001F0BC8"/>
    <w:rsid w:val="001F2A88"/>
    <w:rsid w:val="00204FE0"/>
    <w:rsid w:val="00205524"/>
    <w:rsid w:val="002165D4"/>
    <w:rsid w:val="00230A92"/>
    <w:rsid w:val="00242550"/>
    <w:rsid w:val="0026115D"/>
    <w:rsid w:val="00274FCA"/>
    <w:rsid w:val="00275FF7"/>
    <w:rsid w:val="002B48F2"/>
    <w:rsid w:val="002C5A42"/>
    <w:rsid w:val="002D4C5B"/>
    <w:rsid w:val="002F5967"/>
    <w:rsid w:val="0030445A"/>
    <w:rsid w:val="00304F3D"/>
    <w:rsid w:val="00327BEF"/>
    <w:rsid w:val="00330056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243B"/>
    <w:rsid w:val="004B3E54"/>
    <w:rsid w:val="004B53FA"/>
    <w:rsid w:val="004B584F"/>
    <w:rsid w:val="004B7B8B"/>
    <w:rsid w:val="004D391F"/>
    <w:rsid w:val="004E2AEA"/>
    <w:rsid w:val="005073C8"/>
    <w:rsid w:val="00514CA3"/>
    <w:rsid w:val="00515972"/>
    <w:rsid w:val="005331D4"/>
    <w:rsid w:val="00533ADC"/>
    <w:rsid w:val="00552E7D"/>
    <w:rsid w:val="005651C6"/>
    <w:rsid w:val="005707E2"/>
    <w:rsid w:val="005842DD"/>
    <w:rsid w:val="00596364"/>
    <w:rsid w:val="005965B6"/>
    <w:rsid w:val="005C2C01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7EE8"/>
    <w:rsid w:val="008375A8"/>
    <w:rsid w:val="00871451"/>
    <w:rsid w:val="0088265B"/>
    <w:rsid w:val="008A787A"/>
    <w:rsid w:val="008B6035"/>
    <w:rsid w:val="008C039D"/>
    <w:rsid w:val="008C1DF8"/>
    <w:rsid w:val="008D0296"/>
    <w:rsid w:val="008D087E"/>
    <w:rsid w:val="008D7C58"/>
    <w:rsid w:val="008E514D"/>
    <w:rsid w:val="00912641"/>
    <w:rsid w:val="00917F8D"/>
    <w:rsid w:val="00920A30"/>
    <w:rsid w:val="00927156"/>
    <w:rsid w:val="00933B54"/>
    <w:rsid w:val="009433E6"/>
    <w:rsid w:val="009626E1"/>
    <w:rsid w:val="00993C21"/>
    <w:rsid w:val="009A0771"/>
    <w:rsid w:val="009A3F44"/>
    <w:rsid w:val="009A77A0"/>
    <w:rsid w:val="009D3644"/>
    <w:rsid w:val="009E27BD"/>
    <w:rsid w:val="00A04870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47553"/>
    <w:rsid w:val="00B5210D"/>
    <w:rsid w:val="00B60549"/>
    <w:rsid w:val="00B734B3"/>
    <w:rsid w:val="00B737DB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33ED4"/>
    <w:rsid w:val="00C50926"/>
    <w:rsid w:val="00C61465"/>
    <w:rsid w:val="00C73ACE"/>
    <w:rsid w:val="00C76089"/>
    <w:rsid w:val="00C91452"/>
    <w:rsid w:val="00CA00E6"/>
    <w:rsid w:val="00CA5EE2"/>
    <w:rsid w:val="00CB6164"/>
    <w:rsid w:val="00CC43A8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4302"/>
    <w:rsid w:val="00E2520C"/>
    <w:rsid w:val="00E46A1C"/>
    <w:rsid w:val="00E52D6C"/>
    <w:rsid w:val="00E533F7"/>
    <w:rsid w:val="00E6153C"/>
    <w:rsid w:val="00E63FC4"/>
    <w:rsid w:val="00E75CF7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E3A96"/>
    <w:rsid w:val="00EE7FD9"/>
    <w:rsid w:val="00F667F4"/>
    <w:rsid w:val="00F75E97"/>
    <w:rsid w:val="00F81378"/>
    <w:rsid w:val="00F8486B"/>
    <w:rsid w:val="00FB6493"/>
    <w:rsid w:val="00FC1030"/>
    <w:rsid w:val="00FD042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3C1E1D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B238A-2450-4F41-9ECF-3786DDC4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149</TotalTime>
  <Pages>6</Pages>
  <Words>1508</Words>
  <Characters>8149</Characters>
  <Application>Microsoft Office Word</Application>
  <DocSecurity>0</DocSecurity>
  <Lines>67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130</cp:revision>
  <dcterms:created xsi:type="dcterms:W3CDTF">2019-03-24T00:52:00Z</dcterms:created>
  <dcterms:modified xsi:type="dcterms:W3CDTF">2019-03-24T19:52:00Z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