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AF416BCF">
      <w:pPr>
        <w:pStyle w:val="style0"/>
        <w:spacing w:after="160" w:lineRule="auto" w:line="259"/>
        <w:jc w:val="left"/>
        <w:rPr>
          <w:b/>
          <w:bCs/>
          <w:sz w:val="28"/>
          <w:szCs w:val="28"/>
        </w:rPr>
      </w:pPr>
    </w:p>
    <w:p w14:paraId="25A16563">
      <w:pPr>
        <w:pStyle w:val="style0"/>
        <w:spacing w:after="80" w:lineRule="auto" w:line="240"/>
        <w:jc w:val="center"/>
        <w:rPr>
          <w:b/>
          <w:bCs/>
          <w:sz w:val="28"/>
          <w:szCs w:val="28"/>
        </w:rPr>
      </w:pPr>
      <w:r>
        <w:rPr>
          <w:rFonts w:ascii="Arial" w:cs="Arial" w:eastAsia="SimSun" w:hAnsi="Arial" w:hint="default"/>
          <w:b/>
          <w:bCs/>
          <w:i w:val="false"/>
          <w:iCs w:val="false"/>
          <w:color w:val="auto"/>
          <w:spacing w:val="-10"/>
          <w:kern w:val="28"/>
          <w:sz w:val="28"/>
          <w:szCs w:val="28"/>
          <w:highlight w:val="none"/>
          <w:vertAlign w:val="baseline"/>
          <w:em w:val="none"/>
          <w:lang w:val="pt-BR" w:eastAsia="en-US"/>
        </w:rPr>
        <w:t>ORÇAMENTO E CRONOGRAMA INICIAL</w:t>
      </w:r>
    </w:p>
    <w:p w14:paraId="A3F30336">
      <w:pPr>
        <w:pStyle w:val="style0"/>
        <w:spacing w:after="160" w:lineRule="auto" w:line="259"/>
        <w:ind w:left="0" w:leftChars="0" w:firstLine="0" w:firstLineChars="0"/>
        <w:jc w:val="left"/>
        <w:rPr/>
      </w:pPr>
    </w:p>
    <w:p w14:paraId="90494D4A">
      <w:pPr>
        <w:pStyle w:val="style0"/>
        <w:spacing w:after="160" w:lineRule="auto" w:line="259"/>
        <w:ind w:left="0" w:leftChars="0" w:firstLine="0" w:firstLineChars="0"/>
        <w:jc w:val="left"/>
        <w:rPr/>
      </w:pPr>
      <w:r>
        <w:rPr>
          <w:rFonts w:ascii="Arial" w:cs="Arial" w:eastAsia="Calibri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Município: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São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Luís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–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MA</w:t>
      </w:r>
    </w:p>
    <w:p w14:paraId="09AB11C6">
      <w:pPr>
        <w:pStyle w:val="style0"/>
        <w:spacing w:after="160" w:lineRule="auto" w:line="259"/>
        <w:ind w:left="0" w:leftChars="0" w:firstLine="0" w:firstLineChars="0"/>
        <w:jc w:val="left"/>
        <w:rPr/>
      </w:pPr>
      <w:r>
        <w:rPr>
          <w:rFonts w:ascii="Arial" w:cs="Arial" w:eastAsia="Calibri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Local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: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IEMA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VOCACIONAL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SÃO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LUÍS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-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IDIOMAS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–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Rua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Portugal,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nº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199,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Reviver,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São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Luís/MA</w:t>
      </w:r>
    </w:p>
    <w:p w14:paraId="D79EF1F1">
      <w:pPr>
        <w:pStyle w:val="style0"/>
        <w:spacing w:after="160" w:lineRule="auto" w:line="259"/>
        <w:ind w:left="0" w:leftChars="0" w:firstLine="0" w:firstLineChars="0"/>
        <w:jc w:val="left"/>
        <w:rPr/>
      </w:pPr>
      <w:r>
        <w:rPr>
          <w:rFonts w:ascii="Arial" w:cs="Arial" w:eastAsia="Calibri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Objeto: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Serviços de calha e tubulação para águas pluviais, serralheria (grade), andaimes e limpeza geral, conforme orçamento sintético da obra Mãos à Obra – IEMA Vocacional São Luís.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</w:p>
    <w:p w14:paraId="9D22E1AC">
      <w:pPr>
        <w:pStyle w:val="style0"/>
        <w:spacing w:after="160" w:lineRule="auto" w:line="259"/>
        <w:ind w:left="0" w:leftChars="0" w:firstLine="0" w:firstLineChars="0"/>
        <w:jc w:val="left"/>
        <w:rPr/>
      </w:pPr>
      <w:r>
        <w:rPr>
          <w:rFonts w:ascii="Arial" w:cs="Arial" w:eastAsia="Calibri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Base de Preço: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SINAPI – Maranhão – Mai/2026 / ORSE – Sergipe – Set/2025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</w:r>
    </w:p>
    <w:p w14:paraId="61A6F2AE">
      <w:pPr>
        <w:pStyle w:val="style0"/>
        <w:keepNext/>
        <w:keepLines/>
        <w:spacing w:before="360" w:after="80" w:lineRule="auto" w:line="259"/>
        <w:ind w:left="0" w:leftChars="0" w:firstLine="0" w:firstLineChars="0"/>
        <w:jc w:val="left"/>
        <w:outlineLvl w:val="0"/>
        <w:rPr>
          <w:b/>
          <w:bCs/>
        </w:rPr>
      </w:pPr>
      <w:r>
        <w:rPr>
          <w:rFonts w:ascii="Arial" w:cs="Arial" w:eastAsia="SimSun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1. PLANILHA DE VALORES</w:t>
      </w:r>
      <w:r>
        <w:rPr>
          <w:rFonts w:ascii="Arial" w:cs="Arial" w:eastAsia="SimSun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br/>
      </w:r>
    </w:p>
    <w:p w14:paraId="538310F2">
      <w:pPr>
        <w:pStyle w:val="style0"/>
        <w:spacing w:after="160" w:lineRule="auto" w:line="259"/>
        <w:ind w:left="0" w:leftChars="0" w:firstLine="0" w:firstLineChars="0"/>
        <w:jc w:val="left"/>
        <w:rPr/>
      </w:pP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A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seguir,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apresenta-se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a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planilha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de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valores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contendo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os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itens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previstos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para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execução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da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obra,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com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base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na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tabela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SINAPI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vigente.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O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BDI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é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aplicado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uma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única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vez,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sobre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o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valor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total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da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planilha.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br/>
      </w:r>
    </w:p>
    <w:tbl>
      <w:tblPr>
        <w:tblW w:w="10937" w:type="dxa"/>
        <w:jc w:val="center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9"/>
        <w:gridCol w:w="1194"/>
        <w:gridCol w:w="888"/>
        <w:gridCol w:w="3240"/>
        <w:gridCol w:w="930"/>
        <w:gridCol w:w="898"/>
        <w:gridCol w:w="996"/>
        <w:gridCol w:w="1198"/>
        <w:gridCol w:w="920"/>
      </w:tblGrid>
      <w:tr w14:paraId="DCDF6ED3">
        <w:trPr>
          <w:cantSplit w:val="false"/>
          <w:trHeight w:val="500" w:hRule="atLeast"/>
          <w:tblHeader w:val="false"/>
          <w:jc w:val="center"/>
        </w:trPr>
        <w:tc>
          <w:tcPr>
            <w:tcW w:w="67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80EF3E76">
            <w:pPr>
              <w:pStyle w:val="style0"/>
              <w:spacing w:after="160" w:lineRule="auto" w:line="259"/>
              <w:jc w:val="left"/>
              <w:textAlignment w:val="top"/>
              <w:rPr/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Item</w:t>
            </w:r>
          </w:p>
        </w:tc>
        <w:tc>
          <w:tcPr>
            <w:tcW w:w="119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D513E5FB">
            <w:pPr>
              <w:pStyle w:val="style0"/>
              <w:spacing w:after="160" w:lineRule="auto" w:line="259"/>
              <w:jc w:val="left"/>
              <w:textAlignment w:val="top"/>
              <w:rPr/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Código</w:t>
            </w:r>
          </w:p>
        </w:tc>
        <w:tc>
          <w:tcPr>
            <w:tcW w:w="88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41E8B">
            <w:pPr>
              <w:pStyle w:val="style0"/>
              <w:spacing w:after="160" w:lineRule="auto" w:line="259"/>
              <w:jc w:val="left"/>
              <w:textAlignment w:val="top"/>
              <w:rPr/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Banco</w:t>
            </w:r>
          </w:p>
        </w:tc>
        <w:tc>
          <w:tcPr>
            <w:tcW w:w="3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B989F1F8">
            <w:pPr>
              <w:pStyle w:val="style0"/>
              <w:spacing w:after="160" w:lineRule="auto" w:line="259"/>
              <w:jc w:val="left"/>
              <w:textAlignment w:val="top"/>
              <w:rPr/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Descrição</w:t>
            </w:r>
          </w:p>
        </w:tc>
        <w:tc>
          <w:tcPr>
            <w:tcW w:w="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102C1">
            <w:pPr>
              <w:pStyle w:val="style0"/>
              <w:spacing w:after="160" w:lineRule="auto" w:line="259"/>
              <w:jc w:val="left"/>
              <w:textAlignment w:val="top"/>
              <w:rPr/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Und</w:t>
            </w:r>
          </w:p>
        </w:tc>
        <w:tc>
          <w:tcPr>
            <w:tcW w:w="8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A281712D">
            <w:pPr>
              <w:pStyle w:val="style0"/>
              <w:spacing w:after="160" w:lineRule="auto" w:line="259"/>
              <w:jc w:val="left"/>
              <w:textAlignment w:val="top"/>
              <w:rPr/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Quant.</w:t>
            </w:r>
          </w:p>
        </w:tc>
        <w:tc>
          <w:tcPr>
            <w:tcW w:w="9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E3C77">
            <w:pPr>
              <w:pStyle w:val="style0"/>
              <w:spacing w:after="160" w:lineRule="auto" w:line="259"/>
              <w:jc w:val="left"/>
              <w:textAlignment w:val="top"/>
              <w:rPr/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Valor</w:t>
            </w: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Unit</w:t>
            </w:r>
          </w:p>
        </w:tc>
        <w:tc>
          <w:tcPr>
            <w:tcW w:w="11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6406B">
            <w:pPr>
              <w:pStyle w:val="style0"/>
              <w:spacing w:after="160" w:lineRule="auto" w:line="259"/>
              <w:jc w:val="left"/>
              <w:textAlignment w:val="top"/>
              <w:rPr/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Total</w:t>
            </w:r>
          </w:p>
        </w:tc>
        <w:tc>
          <w:tcPr>
            <w:tcW w:w="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4A838F">
            <w:pPr>
              <w:pStyle w:val="style0"/>
              <w:spacing w:after="160" w:lineRule="auto" w:line="259"/>
              <w:jc w:val="left"/>
              <w:textAlignment w:val="top"/>
              <w:rPr/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Peso</w:t>
            </w: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(%)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b/>
                <w:sz w:val="18"/>
              </w:rPr>
              <w:t>1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b/>
                <w:sz w:val="18"/>
              </w:rPr>
              <w:t>SERVIÇOS PRELIMINARES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b/>
                <w:sz w:val="18"/>
              </w:rPr>
              <w:t>432,00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b/>
                <w:sz w:val="18"/>
              </w:rPr>
              <w:t>4,47%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1.1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00004813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PLACA DE OBRA (PARA CONSTRUÇÃO CIVIL) EM CHAPA GALVANIZADA Nº 22, ADESIVADA, DE 2,4 X 1,2 M (SEM POSTES PARA FIXAÇÃO)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m²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432,00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432,00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4,47%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b/>
                <w:sz w:val="18"/>
              </w:rPr>
              <w:t>2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b/>
                <w:sz w:val="18"/>
              </w:rPr>
              <w:t>ADMINISTRAÇÃO DE OBRAS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b/>
                <w:sz w:val="18"/>
              </w:rPr>
              <w:t>800,97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b/>
                <w:sz w:val="18"/>
              </w:rPr>
              <w:t>8,28%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2.1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90776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ENCARREGADO GERAL COM ENCARGOS COMPLEMENTARES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H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13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34,69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450,97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4,66%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2.2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90779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ENGENHEIRO CIVIL DE OBRA SÊNIOR COM ENCARGOS COMPLEMENTARES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H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175,00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350,00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3,62%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b/>
                <w:sz w:val="18"/>
              </w:rPr>
              <w:t>3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b/>
                <w:sz w:val="18"/>
              </w:rPr>
              <w:t>CALHA E TUBULAÇÕES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b/>
                <w:sz w:val="18"/>
              </w:rPr>
              <w:t>5.783,02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b/>
                <w:sz w:val="18"/>
              </w:rPr>
              <w:t>59,78%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3.1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100434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CALHA DE BEIRAL, SEMICIRCULAR DE PVC, DIÂMETRO 125 MM, INCLUINDO CABECEIRAS, EMENDAS, BOCAIS, SUPORTES E VEDAÇÕES, EXCLUINDO CONDUTORES, INCLUSO TRANSPORTE VERTICAL. AF_07/2019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M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30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157,84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4.735,20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48,94%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3.2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89578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TUBO PVC, SÉRIE R, ÁGUA PLUVIAL, DN 100 MM, FORNECIDO E INSTALADO EM CONDUTORES VERTICAIS DE ÁGUAS PLUVIAIS. AF_06/2022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M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20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32,18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643,60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6,65%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3.3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89584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JOELHO 90 GRAUS, PVC, SÉRIE R, ÁGUA PLUVIAL, DN 100 MM, JUNTA ELÁSTICA, FORNECIDO E INSTALADO EM CONDUTORES VERTICAIS DE ÁGUAS PLUVIAIS. AF_06/2022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UN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43,89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175,56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1,81%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3.4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104082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PLUG, PVC OCRE, JUNTA ELÁSTICA, DN 100 MM, PARA COLETOR PREDIAL DE ESGOTO. AF_06/2022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UN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28,73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86,19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0,89%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3.5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00041892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TE, PVC PBA, BBB, 90 GRAUS, DN 100 / DE 110 MM, PARA REDE DE ÁGUA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UN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142,47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142,47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1,47%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b/>
                <w:sz w:val="18"/>
              </w:rPr>
              <w:t>4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b/>
                <w:sz w:val="18"/>
              </w:rPr>
              <w:t>GRADE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b/>
                <w:sz w:val="18"/>
              </w:rPr>
              <w:t>1.655,98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b/>
                <w:sz w:val="18"/>
              </w:rPr>
              <w:t>17,12%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4.1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88315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SERRALHEIRO COM ENCARGOS COMPLEMENTARES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H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25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27,16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679,00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7,02%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4.2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100704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PORTA CADEADO ZINCADO OXIDADO PRETO COM CADEADO DE AÇO INOX, LARGURA DE 50 MM. AF_10/2025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UN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73,74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73,74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0,76%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4.3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100709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DOBRADIÇA EM AÇO/FERRO, 3" X 2 1/2", E=1,9 A 2MM, SEM ANEL, CROMADO OU ZINCADO, TAMPA BOLA, COM PARAFUSOS. AF_10/2025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UN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59,26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59,26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0,61%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4.4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COT - 05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Próprio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TUBO QUADRADO DE AÇO GALVANIZADO, 20 X 20 MM, E = 1,20 MM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M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65,00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325,00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3,36%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4.5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00000154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TINTA / REVESTIMENTO A BASE DE RESINA EPOXI COM ALCATRÃO, BICOMPONENTE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L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3,60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109,00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392,40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4,06%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4.6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00037526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SACO DE RAFIA PARA ENTULHO, NOVO, LISO (SEM CLICHÊ), 60 X 90 CM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UN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5,27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10,54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0,11%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4.7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00044534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DISCO DE LIXA PARA METAL, DIÂMETRO = 180 MM, GRÃO 120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UN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10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6,59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65,90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0,68%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4.8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00012815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FITA CREPE ROLO DE 25 MM X 50 M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UN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13,97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27,94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0,29%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4.9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00042408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LONA PLÁSTICA EXTRA FORTE PRETA, E = 200 MICRA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m²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10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2,22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22,20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0,23%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b/>
                <w:sz w:val="18"/>
              </w:rPr>
              <w:t>5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b/>
                <w:sz w:val="18"/>
              </w:rPr>
              <w:t>SERVIÇOS AUXILIARES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b/>
                <w:sz w:val="18"/>
              </w:rPr>
              <w:t>745,79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b/>
                <w:sz w:val="18"/>
              </w:rPr>
              <w:t>7,71%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5.1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00010527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LOCAÇÃO DE ANDAIME METÁLICO TUBULAR DE ENCAIXE, TIPO DE TORRE, CADA PAINEL COM LARGURA DE 1 A 1,5 M E ALTURA DE 1,00 M, INCLUINDO DIAGONAL, BARRAS DE LIGAÇÃO, SAPATAS OU RODÍZIOS E DEMAIS ITENS NECESSÁRIOS À MONTAGEM (NÃO INCLUI INSTALAÇÃO)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MXMES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17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20,00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340,00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3,51%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5.2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97064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SINAPI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MONTAGEM E DESMONTAGEM DE ANDAIME TUBULAR TIPO "TORRE" (EXCLUSIVE ANDAIME E LIMPEZA). AF_03/2024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M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17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23,87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405,79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4,19%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b/>
                <w:sz w:val="18"/>
              </w:rPr>
              <w:t>6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b/>
                <w:sz w:val="18"/>
              </w:rPr>
              <w:t>SERVIÇOS FINAIS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b/>
                <w:sz w:val="18"/>
              </w:rPr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b/>
                <w:sz w:val="18"/>
              </w:rPr>
              <w:t>256,85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b/>
                <w:sz w:val="18"/>
              </w:rPr>
              <w:t>2,65%</w:t>
            </w:r>
          </w:p>
        </w:tc>
      </w:tr>
      <w:tr>
        <w:tc>
          <w:tcPr>
            <w:tcW w:type="dxa" w:w="679"/>
          </w:tcPr>
          <w:p>
            <w:r>
              <w:rPr>
                <w:rFonts w:ascii="Arial" w:hAnsi="Arial"/>
                <w:sz w:val="18"/>
              </w:rPr>
              <w:t>6.1</w:t>
            </w:r>
          </w:p>
        </w:tc>
        <w:tc>
          <w:tcPr>
            <w:tcW w:type="dxa" w:w="1194"/>
          </w:tcPr>
          <w:p>
            <w:r>
              <w:rPr>
                <w:rFonts w:ascii="Arial" w:hAnsi="Arial"/>
                <w:sz w:val="18"/>
              </w:rPr>
              <w:t>PROP-06</w:t>
            </w:r>
          </w:p>
        </w:tc>
        <w:tc>
          <w:tcPr>
            <w:tcW w:type="dxa" w:w="888"/>
          </w:tcPr>
          <w:p>
            <w:r>
              <w:rPr>
                <w:rFonts w:ascii="Arial" w:hAnsi="Arial"/>
                <w:sz w:val="18"/>
              </w:rPr>
              <w:t>Próprio</w:t>
            </w:r>
          </w:p>
        </w:tc>
        <w:tc>
          <w:tcPr>
            <w:tcW w:type="dxa" w:w="3240"/>
          </w:tcPr>
          <w:p>
            <w:r>
              <w:rPr>
                <w:rFonts w:ascii="Arial" w:hAnsi="Arial"/>
                <w:sz w:val="18"/>
              </w:rPr>
              <w:t>LIMPEZA/LAVAGEM GERAL</w:t>
            </w:r>
          </w:p>
        </w:tc>
        <w:tc>
          <w:tcPr>
            <w:tcW w:type="dxa" w:w="930"/>
          </w:tcPr>
          <w:p>
            <w:r>
              <w:rPr>
                <w:rFonts w:ascii="Arial" w:hAnsi="Arial"/>
                <w:sz w:val="18"/>
              </w:rPr>
              <w:t>m²</w:t>
            </w:r>
          </w:p>
        </w:tc>
        <w:tc>
          <w:tcPr>
            <w:tcW w:type="dxa" w:w="898"/>
          </w:tcPr>
          <w:p>
            <w:r>
              <w:rPr>
                <w:rFonts w:ascii="Arial" w:hAnsi="Arial"/>
                <w:sz w:val="18"/>
              </w:rPr>
              <w:t>55</w:t>
            </w:r>
          </w:p>
        </w:tc>
        <w:tc>
          <w:tcPr>
            <w:tcW w:type="dxa" w:w="996"/>
          </w:tcPr>
          <w:p>
            <w:r>
              <w:rPr>
                <w:rFonts w:ascii="Arial" w:hAnsi="Arial"/>
                <w:sz w:val="18"/>
              </w:rPr>
              <w:t>4,67</w:t>
            </w:r>
          </w:p>
        </w:tc>
        <w:tc>
          <w:tcPr>
            <w:tcW w:type="dxa" w:w="1198"/>
          </w:tcPr>
          <w:p>
            <w:r>
              <w:rPr>
                <w:rFonts w:ascii="Arial" w:hAnsi="Arial"/>
                <w:sz w:val="18"/>
              </w:rPr>
              <w:t>256,85</w:t>
            </w:r>
          </w:p>
        </w:tc>
        <w:tc>
          <w:tcPr>
            <w:tcW w:type="dxa" w:w="920"/>
          </w:tcPr>
          <w:p>
            <w:r>
              <w:rPr>
                <w:rFonts w:ascii="Arial" w:hAnsi="Arial"/>
                <w:sz w:val="18"/>
              </w:rPr>
              <w:t>2,65%</w:t>
            </w:r>
          </w:p>
        </w:tc>
      </w:tr>
    </w:tbl>
    <w:p w14:paraId="5C8D732A">
      <w:pPr>
        <w:pStyle w:val="style0"/>
        <w:spacing w:after="160" w:lineRule="auto" w:line="259"/>
        <w:jc w:val="center"/>
        <w:rPr/>
      </w:pPr>
    </w:p>
    <w:tbl>
      <w:tblPr>
        <w:tblW w:w="3107" w:type="dxa"/>
        <w:jc w:val="righ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1631"/>
      </w:tblGrid>
      <w:tr w14:paraId="84433E29">
        <w:trPr>
          <w:cantSplit w:val="false"/>
          <w:trHeight w:val="300" w:hRule="atLeast"/>
          <w:tblHeader w:val="false"/>
          <w:jc w:val="right"/>
        </w:trPr>
        <w:tc>
          <w:tcPr>
            <w:tcW w:w="14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8E14F148">
            <w:pPr>
              <w:pStyle w:val="style0"/>
              <w:spacing w:after="160" w:lineRule="auto" w:line="259"/>
              <w:jc w:val="left"/>
              <w:textAlignment w:val="top"/>
              <w:rPr/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Subtotal:</w:t>
            </w:r>
          </w:p>
        </w:tc>
        <w:tc>
          <w:tcPr>
            <w:tcW w:w="163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R$ 9.674,61</w:t>
            </w:r>
          </w:p>
        </w:tc>
      </w:tr>
      <w:tr w14:paraId="2168FA18">
        <w:tblPrEx/>
        <w:trPr>
          <w:cantSplit w:val="false"/>
          <w:trHeight w:val="300" w:hRule="atLeast"/>
          <w:tblHeader w:val="false"/>
          <w:jc w:val="right"/>
        </w:trPr>
        <w:tc>
          <w:tcPr>
            <w:tcW w:w="14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E37C1">
            <w:pPr>
              <w:pStyle w:val="style0"/>
              <w:spacing w:after="160" w:lineRule="auto" w:line="259"/>
              <w:jc w:val="left"/>
              <w:textAlignment w:val="top"/>
              <w:rPr/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BDI</w:t>
            </w: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(25%):</w:t>
            </w:r>
          </w:p>
        </w:tc>
        <w:tc>
          <w:tcPr>
            <w:tcW w:w="163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R$ 2.418,65</w:t>
            </w:r>
          </w:p>
        </w:tc>
      </w:tr>
      <w:tr w14:paraId="95815859">
        <w:tblPrEx/>
        <w:trPr>
          <w:cantSplit w:val="false"/>
          <w:trHeight w:val="300" w:hRule="atLeast"/>
          <w:tblHeader w:val="false"/>
          <w:jc w:val="right"/>
        </w:trPr>
        <w:tc>
          <w:tcPr>
            <w:tcW w:w="14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BE84D9AB">
            <w:pPr>
              <w:pStyle w:val="style0"/>
              <w:spacing w:after="160" w:lineRule="auto" w:line="259"/>
              <w:jc w:val="left"/>
              <w:textAlignment w:val="top"/>
              <w:rPr/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Total</w:t>
            </w: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Geral:</w:t>
            </w:r>
          </w:p>
        </w:tc>
        <w:tc>
          <w:tcPr>
            <w:tcW w:w="163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R$ 12.093,26</w:t>
            </w:r>
          </w:p>
        </w:tc>
      </w:tr>
    </w:tbl>
    <w:p w14:paraId="C145DCB7">
      <w:pPr>
        <w:pStyle w:val="style0"/>
        <w:spacing w:after="160" w:lineRule="auto" w:line="259"/>
        <w:jc w:val="center"/>
        <w:rPr/>
      </w:pPr>
    </w:p>
    <w:p w14:paraId="568708F5">
      <w:pPr>
        <w:pStyle w:val="style0"/>
        <w:spacing w:after="160" w:lineRule="auto" w:line="259"/>
        <w:jc w:val="center"/>
        <w:rPr/>
      </w:pPr>
    </w:p>
    <w:p w14:paraId="BDF7735A">
      <w:pPr>
        <w:pStyle w:val="style0"/>
        <w:spacing w:after="160" w:lineRule="auto" w:line="259"/>
        <w:jc w:val="center"/>
        <w:rPr/>
      </w:pPr>
    </w:p>
    <w:p w14:paraId="2DA8ECDA">
      <w:pPr>
        <w:pStyle w:val="style0"/>
        <w:spacing w:after="160" w:lineRule="auto" w:line="259"/>
        <w:jc w:val="center"/>
        <w:rPr/>
      </w:pPr>
    </w:p>
    <w:p w14:paraId="12B6D10D">
      <w:pPr>
        <w:pStyle w:val="style0"/>
        <w:spacing w:after="160" w:lineRule="auto" w:line="259"/>
        <w:jc w:val="left"/>
        <w:rPr/>
      </w:pPr>
    </w:p>
    <w:p w14:paraId="2DBBE5B6">
      <w:pPr>
        <w:pStyle w:val="style0"/>
        <w:keepNext/>
        <w:keepLines/>
        <w:spacing w:before="360" w:after="80" w:lineRule="auto" w:line="259"/>
        <w:jc w:val="left"/>
        <w:outlineLvl w:val="0"/>
        <w:rPr>
          <w:b/>
          <w:bCs/>
        </w:rPr>
      </w:pPr>
      <w:r>
        <w:rPr>
          <w:rFonts w:ascii="Arial" w:cs="Arial" w:eastAsia="SimSun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2. MEMORIAL DESCRITIVO DOS SERVIÇOS</w:t>
      </w:r>
      <w:r>
        <w:rPr>
          <w:rFonts w:ascii="Arial" w:cs="Arial" w:eastAsia="SimSun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br/>
      </w:r>
    </w:p>
    <w:tbl>
      <w:tblPr>
        <w:tblW w:w="8494" w:type="dxa"/>
        <w:jc w:val="center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7"/>
        <w:gridCol w:w="4247"/>
      </w:tblGrid>
      <w:tr w14:paraId="17A7062C">
        <w:trPr>
          <w:cantSplit w:val="false"/>
          <w:trHeight w:val="400" w:hRule="atLeast"/>
          <w:tblHeader w:val="false"/>
          <w:jc w:val="center"/>
        </w:trPr>
        <w:tc>
          <w:tcPr>
            <w:tcW w:w="42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755BB">
            <w:pPr>
              <w:pStyle w:val="style0"/>
              <w:spacing w:after="160" w:lineRule="auto" w:line="259"/>
              <w:jc w:val="left"/>
              <w:textAlignment w:val="top"/>
              <w:rPr>
                <w:sz w:val="18"/>
                <w:szCs w:val="18"/>
              </w:rPr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  <w:lang w:val="pt-BR" w:eastAsia="en-US"/>
              </w:rPr>
              <w:t>TIPO DE SERVIÇO</w:t>
            </w:r>
          </w:p>
        </w:tc>
        <w:tc>
          <w:tcPr>
            <w:tcW w:w="42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solid" w:color="ffffff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D1391AB8">
            <w:pPr>
              <w:pStyle w:val="style0"/>
              <w:spacing w:after="160" w:lineRule="auto" w:line="259"/>
              <w:jc w:val="left"/>
              <w:textAlignment w:val="top"/>
              <w:rPr>
                <w:sz w:val="18"/>
                <w:szCs w:val="18"/>
              </w:rPr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  <w:lang w:val="pt-BR" w:eastAsia="en-US"/>
              </w:rPr>
              <w:t>DESCRIÇÃO</w:t>
            </w:r>
          </w:p>
        </w:tc>
      </w:tr>
      <w:tr>
        <w:tc>
          <w:tcPr>
            <w:tcW w:type="dxa" w:w="4247"/>
          </w:tcPr>
          <w:p>
            <w:r>
              <w:rPr>
                <w:rFonts w:ascii="Arial" w:hAnsi="Arial"/>
                <w:sz w:val="18"/>
              </w:rPr>
              <w:t>Serviços Preliminares</w:t>
            </w:r>
          </w:p>
        </w:tc>
        <w:tc>
          <w:tcPr>
            <w:tcW w:type="dxa" w:w="4247"/>
          </w:tcPr>
          <w:p>
            <w:r>
              <w:rPr>
                <w:rFonts w:ascii="Arial" w:hAnsi="Arial"/>
                <w:sz w:val="18"/>
              </w:rPr>
              <w:t>Instalação de placa de obra de identificação em chapa galvanizada, conforme padrão do programa.</w:t>
            </w:r>
          </w:p>
        </w:tc>
      </w:tr>
      <w:tr>
        <w:tc>
          <w:tcPr>
            <w:tcW w:type="dxa" w:w="4247"/>
          </w:tcPr>
          <w:p>
            <w:r>
              <w:rPr>
                <w:rFonts w:ascii="Arial" w:hAnsi="Arial"/>
                <w:sz w:val="18"/>
              </w:rPr>
              <w:t>Administração de Obras</w:t>
            </w:r>
          </w:p>
        </w:tc>
        <w:tc>
          <w:tcPr>
            <w:tcW w:type="dxa" w:w="4247"/>
          </w:tcPr>
          <w:p>
            <w:r>
              <w:rPr>
                <w:rFonts w:ascii="Arial" w:hAnsi="Arial"/>
                <w:sz w:val="18"/>
              </w:rPr>
              <w:t>Alocação de engenheiro civil sênior e encarregado geral para acompanhamento técnico e execução dos serviços.</w:t>
            </w:r>
          </w:p>
        </w:tc>
      </w:tr>
      <w:tr>
        <w:tc>
          <w:tcPr>
            <w:tcW w:type="dxa" w:w="4247"/>
          </w:tcPr>
          <w:p>
            <w:r>
              <w:rPr>
                <w:rFonts w:ascii="Arial" w:hAnsi="Arial"/>
                <w:sz w:val="18"/>
              </w:rPr>
              <w:t>Calha e Tubulações</w:t>
            </w:r>
          </w:p>
        </w:tc>
        <w:tc>
          <w:tcPr>
            <w:tcW w:type="dxa" w:w="4247"/>
          </w:tcPr>
          <w:p>
            <w:r>
              <w:rPr>
                <w:rFonts w:ascii="Arial" w:hAnsi="Arial"/>
                <w:sz w:val="18"/>
              </w:rPr>
              <w:t>Instalação de calha de beiral semicircular em PVC, tubos PVC série R para águas pluviais, joelhos, plugs e Tês para rede de água pluvial.</w:t>
            </w:r>
          </w:p>
        </w:tc>
      </w:tr>
      <w:tr>
        <w:tc>
          <w:tcPr>
            <w:tcW w:type="dxa" w:w="4247"/>
          </w:tcPr>
          <w:p>
            <w:r>
              <w:rPr>
                <w:rFonts w:ascii="Arial" w:hAnsi="Arial"/>
                <w:sz w:val="18"/>
              </w:rPr>
              <w:t>Grade</w:t>
            </w:r>
          </w:p>
        </w:tc>
        <w:tc>
          <w:tcPr>
            <w:tcW w:type="dxa" w:w="4247"/>
          </w:tcPr>
          <w:p>
            <w:r>
              <w:rPr>
                <w:rFonts w:ascii="Arial" w:hAnsi="Arial"/>
                <w:sz w:val="18"/>
              </w:rPr>
              <w:t>Confecção e instalação de estrutura metálica em tubo quadrado galvanizado, com porta cadeado, dobradiças, pintura epóxi e materiais de acabamento.</w:t>
            </w:r>
          </w:p>
        </w:tc>
      </w:tr>
      <w:tr>
        <w:tc>
          <w:tcPr>
            <w:tcW w:type="dxa" w:w="4247"/>
          </w:tcPr>
          <w:p>
            <w:r>
              <w:rPr>
                <w:rFonts w:ascii="Arial" w:hAnsi="Arial"/>
                <w:sz w:val="18"/>
              </w:rPr>
              <w:t>Serviços Auxiliares</w:t>
            </w:r>
          </w:p>
        </w:tc>
        <w:tc>
          <w:tcPr>
            <w:tcW w:type="dxa" w:w="4247"/>
          </w:tcPr>
          <w:p>
            <w:r>
              <w:rPr>
                <w:rFonts w:ascii="Arial" w:hAnsi="Arial"/>
                <w:sz w:val="18"/>
              </w:rPr>
              <w:t>Montagem, desmontagem e locação de andaime tubular tipo torre.</w:t>
            </w:r>
          </w:p>
        </w:tc>
      </w:tr>
      <w:tr>
        <w:tc>
          <w:tcPr>
            <w:tcW w:type="dxa" w:w="4247"/>
          </w:tcPr>
          <w:p>
            <w:r>
              <w:rPr>
                <w:rFonts w:ascii="Arial" w:hAnsi="Arial"/>
                <w:sz w:val="18"/>
              </w:rPr>
              <w:t>Serviços Finais</w:t>
            </w:r>
          </w:p>
        </w:tc>
        <w:tc>
          <w:tcPr>
            <w:tcW w:type="dxa" w:w="4247"/>
          </w:tcPr>
          <w:p>
            <w:r>
              <w:rPr>
                <w:rFonts w:ascii="Arial" w:hAnsi="Arial"/>
                <w:sz w:val="18"/>
              </w:rPr>
              <w:t>Limpeza geral da obra.</w:t>
            </w:r>
          </w:p>
        </w:tc>
      </w:tr>
    </w:tbl>
    <w:p w14:paraId="038949D4">
      <w:pPr>
        <w:pStyle w:val="style0"/>
        <w:spacing w:after="160" w:lineRule="auto" w:line="259"/>
        <w:jc w:val="center"/>
        <w:rPr/>
      </w:pPr>
    </w:p>
    <w:p w14:paraId="220A90B6">
      <w:pPr>
        <w:pStyle w:val="style0"/>
        <w:keepNext/>
        <w:keepLines/>
        <w:spacing w:before="360" w:after="80" w:lineRule="auto" w:line="259"/>
        <w:jc w:val="left"/>
        <w:outlineLvl w:val="0"/>
        <w:rPr>
          <w:b/>
          <w:bCs/>
        </w:rPr>
      </w:pPr>
      <w:r>
        <w:rPr>
          <w:rFonts w:ascii="Arial" w:cs="Arial" w:eastAsia="SimSun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3. CRONOGRAMA FÍSICO-FINANCEIRO</w:t>
      </w:r>
      <w:r>
        <w:rPr>
          <w:rFonts w:ascii="Arial" w:cs="Arial" w:eastAsia="SimSun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br/>
      </w:r>
    </w:p>
    <w:tbl>
      <w:tblPr>
        <w:tblStyle w:val="style255"/>
        <w:tblW w:w="9700" w:type="dxa"/>
        <w:jc w:val="center"/>
      </w:tblPr>
      <w:tblGrid>
        <w:gridCol w:w="2159"/>
        <w:gridCol w:w="2530"/>
        <w:gridCol w:w="1297"/>
        <w:gridCol w:w="1290"/>
        <w:gridCol w:w="1244"/>
        <w:gridCol w:w="1183"/>
      </w:tblGrid>
      <w:tr w14:paraId="87677BBF">
        <w:trPr>
          <w:cantSplit w:val="false"/>
          <w:trHeight w:val="400" w:hRule="atLeast"/>
          <w:tblHeader w:val="false"/>
          <w:jc w:val="center"/>
        </w:trPr>
        <w:tc>
          <w:tcPr>
            <w:tcW w:w="2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D6B6A250">
            <w:pPr>
              <w:pStyle w:val="style0"/>
              <w:spacing w:after="160" w:lineRule="auto" w:line="259"/>
              <w:jc w:val="left"/>
              <w:textAlignment w:val="top"/>
              <w:rPr>
                <w:b/>
                <w:bCs/>
              </w:rPr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Item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623B3">
            <w:pPr>
              <w:pStyle w:val="style0"/>
              <w:spacing w:after="160" w:lineRule="auto" w:line="259"/>
              <w:jc w:val="left"/>
              <w:textAlignment w:val="top"/>
              <w:rPr>
                <w:b/>
                <w:bCs/>
              </w:rPr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Descrição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707A6">
            <w:pPr>
              <w:pStyle w:val="style0"/>
              <w:spacing w:after="160" w:lineRule="auto" w:line="259"/>
              <w:jc w:val="left"/>
              <w:textAlignment w:val="top"/>
              <w:rPr/>
            </w:pP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Total</w:t>
            </w: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Por</w:t>
            </w: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/>
                <w:bCs/>
                <w:i w:val="false"/>
                <w:iCs w:val="false"/>
                <w:color w:val="auto"/>
                <w:sz w:val="20"/>
                <w:szCs w:val="22"/>
                <w:highlight w:val="none"/>
                <w:vertAlign w:val="baseline"/>
                <w:em w:val="none"/>
                <w:lang w:val="pt-BR" w:eastAsia="en-US"/>
              </w:rPr>
              <w:t>Etapa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rFonts w:ascii="Arial" w:hAnsi="Arial"/>
                <w:b/>
                <w:sz w:val="18"/>
              </w:rPr>
              <w:t>3 DIAS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rFonts w:ascii="Arial" w:hAnsi="Arial"/>
                <w:b/>
                <w:sz w:val="18"/>
              </w:rPr>
              <w:t>3 DIAS</w:t>
            </w:r>
          </w:p>
        </w:tc>
        <w:tc>
          <w:tcPr>
            <w:tcW w:w="1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rFonts w:ascii="Arial" w:hAnsi="Arial"/>
                <w:b/>
                <w:sz w:val="18"/>
              </w:rPr>
              <w:t>4 DIAS</w:t>
            </w:r>
          </w:p>
        </w:tc>
      </w:tr>
      <w:tr>
        <w:tc>
          <w:tcPr>
            <w:tcW w:type="dxa" w:w="2159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2530"/>
          </w:tcPr>
          <w:p>
            <w:r>
              <w:rPr>
                <w:rFonts w:ascii="Arial" w:hAnsi="Arial"/>
                <w:sz w:val="18"/>
              </w:rPr>
              <w:t>SERVIÇOS PRELIMINARES</w:t>
            </w:r>
          </w:p>
        </w:tc>
        <w:tc>
          <w:tcPr>
            <w:tcW w:type="dxa" w:w="1297"/>
          </w:tcPr>
          <w:p>
            <w:r>
              <w:rPr>
                <w:rFonts w:ascii="Arial" w:hAnsi="Arial"/>
                <w:sz w:val="18"/>
              </w:rPr>
              <w:t>100,00% 432,00</w:t>
            </w:r>
          </w:p>
        </w:tc>
        <w:tc>
          <w:tcPr>
            <w:tcW w:type="dxa" w:w="1290"/>
          </w:tcPr>
          <w:p>
            <w:r>
              <w:rPr>
                <w:rFonts w:ascii="Arial" w:hAnsi="Arial"/>
                <w:sz w:val="18"/>
              </w:rPr>
              <w:t>40,00% 172,80</w:t>
            </w:r>
          </w:p>
        </w:tc>
        <w:tc>
          <w:tcPr>
            <w:tcW w:type="dxa" w:w="1244"/>
          </w:tcPr>
          <w:p>
            <w:r>
              <w:rPr>
                <w:rFonts w:ascii="Arial" w:hAnsi="Arial"/>
                <w:sz w:val="18"/>
              </w:rPr>
              <w:t>30,00% 129,60</w:t>
            </w:r>
          </w:p>
        </w:tc>
        <w:tc>
          <w:tcPr>
            <w:tcW w:type="dxa" w:w="1183"/>
          </w:tcPr>
          <w:p>
            <w:r>
              <w:rPr>
                <w:rFonts w:ascii="Arial" w:hAnsi="Arial"/>
                <w:sz w:val="18"/>
              </w:rPr>
              <w:t>30,00% 129,60</w:t>
            </w:r>
          </w:p>
        </w:tc>
      </w:tr>
      <w:tr>
        <w:tc>
          <w:tcPr>
            <w:tcW w:type="dxa" w:w="2159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2530"/>
          </w:tcPr>
          <w:p>
            <w:r>
              <w:rPr>
                <w:rFonts w:ascii="Arial" w:hAnsi="Arial"/>
                <w:sz w:val="18"/>
              </w:rPr>
              <w:t>ADMINISTRAÇÃO DE OBRAS</w:t>
            </w:r>
          </w:p>
        </w:tc>
        <w:tc>
          <w:tcPr>
            <w:tcW w:type="dxa" w:w="1297"/>
          </w:tcPr>
          <w:p>
            <w:r>
              <w:rPr>
                <w:rFonts w:ascii="Arial" w:hAnsi="Arial"/>
                <w:sz w:val="18"/>
              </w:rPr>
              <w:t>100,00% 800,97</w:t>
            </w:r>
          </w:p>
        </w:tc>
        <w:tc>
          <w:tcPr>
            <w:tcW w:type="dxa" w:w="1290"/>
          </w:tcPr>
          <w:p>
            <w:r>
              <w:rPr>
                <w:rFonts w:ascii="Arial" w:hAnsi="Arial"/>
                <w:sz w:val="18"/>
              </w:rPr>
              <w:t>40,00% 320,39</w:t>
            </w:r>
          </w:p>
        </w:tc>
        <w:tc>
          <w:tcPr>
            <w:tcW w:type="dxa" w:w="1244"/>
          </w:tcPr>
          <w:p>
            <w:r>
              <w:rPr>
                <w:rFonts w:ascii="Arial" w:hAnsi="Arial"/>
                <w:sz w:val="18"/>
              </w:rPr>
              <w:t>30,00% 240,29</w:t>
            </w:r>
          </w:p>
        </w:tc>
        <w:tc>
          <w:tcPr>
            <w:tcW w:type="dxa" w:w="1183"/>
          </w:tcPr>
          <w:p>
            <w:r>
              <w:rPr>
                <w:rFonts w:ascii="Arial" w:hAnsi="Arial"/>
                <w:sz w:val="18"/>
              </w:rPr>
              <w:t>30,00% 240,29</w:t>
            </w:r>
          </w:p>
        </w:tc>
      </w:tr>
      <w:tr>
        <w:tc>
          <w:tcPr>
            <w:tcW w:type="dxa" w:w="2159"/>
          </w:tcPr>
          <w:p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2530"/>
          </w:tcPr>
          <w:p>
            <w:r>
              <w:rPr>
                <w:rFonts w:ascii="Arial" w:hAnsi="Arial"/>
                <w:sz w:val="18"/>
              </w:rPr>
              <w:t>CALHA E TUBULAÇÕES</w:t>
            </w:r>
          </w:p>
        </w:tc>
        <w:tc>
          <w:tcPr>
            <w:tcW w:type="dxa" w:w="1297"/>
          </w:tcPr>
          <w:p>
            <w:r>
              <w:rPr>
                <w:rFonts w:ascii="Arial" w:hAnsi="Arial"/>
                <w:sz w:val="18"/>
              </w:rPr>
              <w:t>100,00% 5.783,02</w:t>
            </w:r>
          </w:p>
        </w:tc>
        <w:tc>
          <w:tcPr>
            <w:tcW w:type="dxa" w:w="1290"/>
          </w:tcPr>
          <w:p>
            <w:r>
              <w:rPr>
                <w:rFonts w:ascii="Arial" w:hAnsi="Arial"/>
                <w:sz w:val="18"/>
              </w:rPr>
              <w:t>40,00% 2.313,21</w:t>
            </w:r>
          </w:p>
        </w:tc>
        <w:tc>
          <w:tcPr>
            <w:tcW w:type="dxa" w:w="1244"/>
          </w:tcPr>
          <w:p>
            <w:r>
              <w:rPr>
                <w:rFonts w:ascii="Arial" w:hAnsi="Arial"/>
                <w:sz w:val="18"/>
              </w:rPr>
              <w:t>30,00% 1.734,91</w:t>
            </w:r>
          </w:p>
        </w:tc>
        <w:tc>
          <w:tcPr>
            <w:tcW w:type="dxa" w:w="1183"/>
          </w:tcPr>
          <w:p>
            <w:r>
              <w:rPr>
                <w:rFonts w:ascii="Arial" w:hAnsi="Arial"/>
                <w:sz w:val="18"/>
              </w:rPr>
              <w:t>30,00% 1.734,91</w:t>
            </w:r>
          </w:p>
        </w:tc>
      </w:tr>
      <w:tr>
        <w:tc>
          <w:tcPr>
            <w:tcW w:type="dxa" w:w="2159"/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2530"/>
          </w:tcPr>
          <w:p>
            <w:r>
              <w:rPr>
                <w:rFonts w:ascii="Arial" w:hAnsi="Arial"/>
                <w:sz w:val="18"/>
              </w:rPr>
              <w:t>GRADE</w:t>
            </w:r>
          </w:p>
        </w:tc>
        <w:tc>
          <w:tcPr>
            <w:tcW w:type="dxa" w:w="1297"/>
          </w:tcPr>
          <w:p>
            <w:r>
              <w:rPr>
                <w:rFonts w:ascii="Arial" w:hAnsi="Arial"/>
                <w:sz w:val="18"/>
              </w:rPr>
              <w:t>100,00% 1.655,98</w:t>
            </w:r>
          </w:p>
        </w:tc>
        <w:tc>
          <w:tcPr>
            <w:tcW w:type="dxa" w:w="1290"/>
          </w:tcPr>
          <w:p>
            <w:r>
              <w:rPr>
                <w:rFonts w:ascii="Arial" w:hAnsi="Arial"/>
                <w:sz w:val="18"/>
              </w:rPr>
              <w:t>40,00% 662,39</w:t>
            </w:r>
          </w:p>
        </w:tc>
        <w:tc>
          <w:tcPr>
            <w:tcW w:type="dxa" w:w="1244"/>
          </w:tcPr>
          <w:p>
            <w:r>
              <w:rPr>
                <w:rFonts w:ascii="Arial" w:hAnsi="Arial"/>
                <w:sz w:val="18"/>
              </w:rPr>
              <w:t>30,00% 496,79</w:t>
            </w:r>
          </w:p>
        </w:tc>
        <w:tc>
          <w:tcPr>
            <w:tcW w:type="dxa" w:w="1183"/>
          </w:tcPr>
          <w:p>
            <w:r>
              <w:rPr>
                <w:rFonts w:ascii="Arial" w:hAnsi="Arial"/>
                <w:sz w:val="18"/>
              </w:rPr>
              <w:t>30,00% 496,79</w:t>
            </w:r>
          </w:p>
        </w:tc>
      </w:tr>
      <w:tr>
        <w:tc>
          <w:tcPr>
            <w:tcW w:type="dxa" w:w="2159"/>
          </w:tcPr>
          <w:p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2530"/>
          </w:tcPr>
          <w:p>
            <w:r>
              <w:rPr>
                <w:rFonts w:ascii="Arial" w:hAnsi="Arial"/>
                <w:sz w:val="18"/>
              </w:rPr>
              <w:t>SERVIÇOS AUXILIARES</w:t>
            </w:r>
          </w:p>
        </w:tc>
        <w:tc>
          <w:tcPr>
            <w:tcW w:type="dxa" w:w="1297"/>
          </w:tcPr>
          <w:p>
            <w:r>
              <w:rPr>
                <w:rFonts w:ascii="Arial" w:hAnsi="Arial"/>
                <w:sz w:val="18"/>
              </w:rPr>
              <w:t>100,00% 745,79</w:t>
            </w:r>
          </w:p>
        </w:tc>
        <w:tc>
          <w:tcPr>
            <w:tcW w:type="dxa" w:w="1290"/>
          </w:tcPr>
          <w:p>
            <w:r>
              <w:rPr>
                <w:rFonts w:ascii="Arial" w:hAnsi="Arial"/>
                <w:sz w:val="18"/>
              </w:rPr>
              <w:t>40,00% 298,32</w:t>
            </w:r>
          </w:p>
        </w:tc>
        <w:tc>
          <w:tcPr>
            <w:tcW w:type="dxa" w:w="1244"/>
          </w:tcPr>
          <w:p>
            <w:r>
              <w:rPr>
                <w:rFonts w:ascii="Arial" w:hAnsi="Arial"/>
                <w:sz w:val="18"/>
              </w:rPr>
              <w:t>30,00% 223,74</w:t>
            </w:r>
          </w:p>
        </w:tc>
        <w:tc>
          <w:tcPr>
            <w:tcW w:type="dxa" w:w="1183"/>
          </w:tcPr>
          <w:p>
            <w:r>
              <w:rPr>
                <w:rFonts w:ascii="Arial" w:hAnsi="Arial"/>
                <w:sz w:val="18"/>
              </w:rPr>
              <w:t>30,00% 223,74</w:t>
            </w:r>
          </w:p>
        </w:tc>
      </w:tr>
      <w:tr>
        <w:tc>
          <w:tcPr>
            <w:tcW w:type="dxa" w:w="2159"/>
          </w:tcPr>
          <w:p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type="dxa" w:w="2530"/>
          </w:tcPr>
          <w:p>
            <w:r>
              <w:rPr>
                <w:rFonts w:ascii="Arial" w:hAnsi="Arial"/>
                <w:sz w:val="18"/>
              </w:rPr>
              <w:t>SERVIÇOS FINAIS</w:t>
            </w:r>
          </w:p>
        </w:tc>
        <w:tc>
          <w:tcPr>
            <w:tcW w:type="dxa" w:w="1297"/>
          </w:tcPr>
          <w:p>
            <w:r>
              <w:rPr>
                <w:rFonts w:ascii="Arial" w:hAnsi="Arial"/>
                <w:sz w:val="18"/>
              </w:rPr>
              <w:t>100,00% 256,85</w:t>
            </w:r>
          </w:p>
        </w:tc>
        <w:tc>
          <w:tcPr>
            <w:tcW w:type="dxa" w:w="1290"/>
          </w:tcPr>
          <w:p>
            <w:r>
              <w:rPr>
                <w:rFonts w:ascii="Arial" w:hAnsi="Arial"/>
                <w:sz w:val="18"/>
              </w:rPr>
              <w:t>40,00% 102,74</w:t>
            </w:r>
          </w:p>
        </w:tc>
        <w:tc>
          <w:tcPr>
            <w:tcW w:type="dxa" w:w="1244"/>
          </w:tcPr>
          <w:p>
            <w:r>
              <w:rPr>
                <w:rFonts w:ascii="Arial" w:hAnsi="Arial"/>
                <w:sz w:val="18"/>
              </w:rPr>
              <w:t>30,00% 77,06</w:t>
            </w:r>
          </w:p>
        </w:tc>
        <w:tc>
          <w:tcPr>
            <w:tcW w:type="dxa" w:w="1183"/>
          </w:tcPr>
          <w:p>
            <w:r>
              <w:rPr>
                <w:rFonts w:ascii="Arial" w:hAnsi="Arial"/>
                <w:sz w:val="18"/>
              </w:rPr>
              <w:t>30,00% 77,06</w:t>
            </w:r>
          </w:p>
        </w:tc>
      </w:tr>
      <w:tr>
        <w:tc>
          <w:tcPr>
            <w:tcW w:type="dxa" w:w="2159"/>
          </w:tcPr>
          <w:p>
            <w:r>
              <w:rPr>
                <w:rFonts w:ascii="Arial" w:hAnsi="Arial"/>
                <w:b/>
                <w:sz w:val="18"/>
              </w:rPr>
              <w:t>Porcentagem</w:t>
            </w:r>
          </w:p>
        </w:tc>
        <w:tc>
          <w:tcPr>
            <w:tcW w:type="dxa" w:w="2530"/>
          </w:tcPr>
          <w:p/>
        </w:tc>
        <w:tc>
          <w:tcPr>
            <w:tcW w:type="dxa" w:w="1297"/>
          </w:tcPr>
          <w:p>
            <w:r>
              <w:rPr>
                <w:rFonts w:ascii="Arial" w:hAnsi="Arial"/>
                <w:b/>
                <w:sz w:val="18"/>
              </w:rPr>
              <w:t>40,0%</w:t>
            </w:r>
          </w:p>
        </w:tc>
        <w:tc>
          <w:tcPr>
            <w:tcW w:type="dxa" w:w="1290"/>
          </w:tcPr>
          <w:p>
            <w:r>
              <w:rPr>
                <w:rFonts w:ascii="Arial" w:hAnsi="Arial"/>
                <w:b/>
                <w:sz w:val="18"/>
              </w:rPr>
              <w:t>30,0%</w:t>
            </w:r>
          </w:p>
        </w:tc>
        <w:tc>
          <w:tcPr>
            <w:tcW w:type="dxa" w:w="1244"/>
          </w:tcPr>
          <w:p>
            <w:r>
              <w:rPr>
                <w:rFonts w:ascii="Arial" w:hAnsi="Arial"/>
                <w:b/>
                <w:sz w:val="18"/>
              </w:rPr>
              <w:t>30,0%</w:t>
            </w:r>
          </w:p>
        </w:tc>
        <w:tc>
          <w:tcPr>
            <w:tcW w:type="dxa" w:w="1183"/>
          </w:tcPr>
          <w:p/>
        </w:tc>
      </w:tr>
      <w:tr>
        <w:tc>
          <w:tcPr>
            <w:tcW w:type="dxa" w:w="2159"/>
          </w:tcPr>
          <w:p>
            <w:r>
              <w:rPr>
                <w:rFonts w:ascii="Arial" w:hAnsi="Arial"/>
                <w:b/>
                <w:sz w:val="18"/>
              </w:rPr>
              <w:t>Custo</w:t>
            </w:r>
          </w:p>
        </w:tc>
        <w:tc>
          <w:tcPr>
            <w:tcW w:type="dxa" w:w="2530"/>
          </w:tcPr>
          <w:p/>
        </w:tc>
        <w:tc>
          <w:tcPr>
            <w:tcW w:type="dxa" w:w="1297"/>
          </w:tcPr>
          <w:p>
            <w:r>
              <w:rPr>
                <w:rFonts w:ascii="Arial" w:hAnsi="Arial"/>
                <w:b/>
                <w:sz w:val="18"/>
              </w:rPr>
              <w:t>4.837,30</w:t>
            </w:r>
          </w:p>
        </w:tc>
        <w:tc>
          <w:tcPr>
            <w:tcW w:type="dxa" w:w="1290"/>
          </w:tcPr>
          <w:p>
            <w:r>
              <w:rPr>
                <w:rFonts w:ascii="Arial" w:hAnsi="Arial"/>
                <w:b/>
                <w:sz w:val="18"/>
              </w:rPr>
              <w:t>3.627,98</w:t>
            </w:r>
          </w:p>
        </w:tc>
        <w:tc>
          <w:tcPr>
            <w:tcW w:type="dxa" w:w="1244"/>
          </w:tcPr>
          <w:p>
            <w:r>
              <w:rPr>
                <w:rFonts w:ascii="Arial" w:hAnsi="Arial"/>
                <w:b/>
                <w:sz w:val="18"/>
              </w:rPr>
              <w:t>3.627,98</w:t>
            </w:r>
          </w:p>
        </w:tc>
        <w:tc>
          <w:tcPr>
            <w:tcW w:type="dxa" w:w="1183"/>
          </w:tcPr>
          <w:p/>
        </w:tc>
      </w:tr>
      <w:tr>
        <w:tc>
          <w:tcPr>
            <w:tcW w:type="dxa" w:w="2159"/>
          </w:tcPr>
          <w:p>
            <w:r>
              <w:rPr>
                <w:rFonts w:ascii="Arial" w:hAnsi="Arial"/>
                <w:b/>
                <w:sz w:val="18"/>
              </w:rPr>
              <w:t>Custo Acumulado</w:t>
            </w:r>
          </w:p>
        </w:tc>
        <w:tc>
          <w:tcPr>
            <w:tcW w:type="dxa" w:w="2530"/>
          </w:tcPr>
          <w:p/>
        </w:tc>
        <w:tc>
          <w:tcPr>
            <w:tcW w:type="dxa" w:w="1297"/>
          </w:tcPr>
          <w:p>
            <w:r>
              <w:rPr>
                <w:rFonts w:ascii="Arial" w:hAnsi="Arial"/>
                <w:b/>
                <w:sz w:val="18"/>
              </w:rPr>
              <w:t>4.837,30</w:t>
            </w:r>
          </w:p>
        </w:tc>
        <w:tc>
          <w:tcPr>
            <w:tcW w:type="dxa" w:w="1290"/>
          </w:tcPr>
          <w:p>
            <w:r>
              <w:rPr>
                <w:rFonts w:ascii="Arial" w:hAnsi="Arial"/>
                <w:b/>
                <w:sz w:val="18"/>
              </w:rPr>
              <w:t>8.465,28</w:t>
            </w:r>
          </w:p>
        </w:tc>
        <w:tc>
          <w:tcPr>
            <w:tcW w:type="dxa" w:w="1244"/>
          </w:tcPr>
          <w:p>
            <w:r>
              <w:rPr>
                <w:rFonts w:ascii="Arial" w:hAnsi="Arial"/>
                <w:b/>
                <w:sz w:val="18"/>
              </w:rPr>
              <w:t>12.093,26</w:t>
            </w:r>
          </w:p>
        </w:tc>
        <w:tc>
          <w:tcPr>
            <w:tcW w:type="dxa" w:w="1183"/>
          </w:tcPr>
          <w:p/>
        </w:tc>
      </w:tr>
    </w:tbl>
    <w:p w14:paraId="0B6B36AA">
      <w:pPr>
        <w:pStyle w:val="style0"/>
        <w:spacing w:after="160" w:lineRule="auto" w:line="259"/>
        <w:jc w:val="center"/>
        <w:rPr/>
      </w:pPr>
    </w:p>
    <w:p w14:paraId="21EBDA62">
      <w:pPr>
        <w:pStyle w:val="style0"/>
        <w:spacing w:after="160" w:lineRule="auto" w:line="259"/>
        <w:jc w:val="right"/>
        <w:rPr/>
      </w:pP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São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Luís/MA,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07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de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julho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de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 w:val="false"/>
          <w:bCs w:val="false"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2026</w:t>
      </w:r>
    </w:p>
    <w:p w14:paraId="8719548B">
      <w:pPr>
        <w:pStyle w:val="style0"/>
        <w:spacing w:after="160" w:lineRule="auto" w:line="259"/>
        <w:jc w:val="right"/>
        <w:rPr/>
      </w:pPr>
    </w:p>
    <w:p w14:paraId="94376AE8">
      <w:pPr>
        <w:pStyle w:val="style0"/>
        <w:pBdr>
          <w:bottom w:val="single" w:sz="12" w:space="1" w:color="auto"/>
        </w:pBdr>
        <w:spacing w:after="160" w:lineRule="auto" w:line="259"/>
        <w:jc w:val="left"/>
        <w:rPr/>
      </w:pPr>
    </w:p>
    <w:p w14:paraId="CA82FDF2">
      <w:pPr>
        <w:pStyle w:val="style0"/>
        <w:spacing w:after="160" w:lineRule="auto" w:line="240"/>
        <w:jc w:val="center"/>
        <w:rPr/>
      </w:pPr>
      <w:r>
        <w:rPr>
          <w:rFonts w:ascii="Arial" w:cs="Arial" w:eastAsia="Calibri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KNC</w:t>
      </w:r>
      <w:r>
        <w:rPr>
          <w:rFonts w:ascii="Arial" w:cs="Arial" w:eastAsia="Calibri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BRASIL</w:t>
      </w:r>
      <w:r>
        <w:rPr>
          <w:rFonts w:ascii="Arial" w:cs="Arial" w:eastAsia="Calibri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LTDA</w:t>
      </w:r>
    </w:p>
    <w:p w14:paraId="7DACA795">
      <w:pPr>
        <w:pStyle w:val="style0"/>
        <w:spacing w:after="160" w:lineRule="auto" w:line="240"/>
        <w:jc w:val="center"/>
        <w:rPr/>
      </w:pPr>
      <w:r>
        <w:rPr>
          <w:rFonts w:ascii="Arial" w:cs="Arial" w:eastAsia="Calibri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CNPJ:</w:t>
      </w:r>
      <w:r>
        <w:rPr>
          <w:rFonts w:ascii="Arial" w:cs="Arial" w:eastAsia="Calibri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 xml:space="preserve"> </w:t>
      </w:r>
      <w:r>
        <w:rPr>
          <w:rFonts w:ascii="Arial" w:cs="Arial" w:eastAsia="Calibri" w:hAnsi="Arial" w:hint="default"/>
          <w:b/>
          <w:bCs/>
          <w:i w:val="false"/>
          <w:iCs w:val="false"/>
          <w:color w:val="auto"/>
          <w:sz w:val="22"/>
          <w:szCs w:val="22"/>
          <w:highlight w:val="none"/>
          <w:vertAlign w:val="baseline"/>
          <w:em w:val="none"/>
          <w:lang w:val="pt-BR" w:eastAsia="en-US"/>
        </w:rPr>
        <w:t>56.947.433/0001-03</w:t>
      </w:r>
    </w:p>
    <w:sectPr>
      <w:headerReference w:type="default" r:id="rId2"/>
      <w:footerReference w:type="default" r:id="rId3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altName w:val="Symbol"/>
    <w:panose1 w:val="05050102010000020507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Aptos"/>
    <w:panose1 w:val="020b0004020000020204"/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000020204"/>
    <w:charset w:val="00"/>
    <w:family w:val="swiss"/>
    <w:pitch w:val="variable"/>
    <w:sig w:usb0="E0002EFF" w:usb1="C000785B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"/>
    <w:panose1 w:val="02070309020000020404"/>
    <w:charset w:val="00"/>
    <w:family w:val="modern"/>
    <w:pitch w:val="fixed"/>
    <w:sig w:usb0="E0002EFF" w:usb1="C0007843" w:usb2="00000009" w:usb3="00000000" w:csb0="000001FF" w:csb1="00000000"/>
  </w:font>
  <w:font w:name="Aptos Display">
    <w:altName w:val="Aptos Display"/>
    <w:panose1 w:val="020b0004020000020204"/>
    <w:charset w:val="00"/>
    <w:family w:val="swiss"/>
    <w:pitch w:val="variable"/>
    <w:sig w:usb0="20000287" w:usb1="00000003" w:usb2="00000000" w:usb3="00000000" w:csb0="0000019F" w:csb1="00000000"/>
  </w:font>
  <w:font w:name="T3Font_4">
    <w:altName w:val="Yu Gothic"/>
    <w:panose1 w:val="00000000000000000000"/>
    <w:charset w:val="80"/>
    <w:family w:val="swiss"/>
    <w:pitch w:val="default"/>
    <w:sig w:usb0="00000001" w:usb1="08070000" w:usb2="00000010" w:usb3="00000000" w:csb0="00020000" w:csb1="00000000"/>
  </w:font>
  <w:font w:name="Calibri">
    <w:altName w:val="Calibri"/>
    <w:panose1 w:val="020f0502020000030204"/>
    <w:charset w:val="7a"/>
    <w:family w:val="swiss"/>
    <w:pitch w:val="default"/>
    <w:sig w:usb0="E10002FF" w:usb1="4000ACFF" w:usb2="00000009" w:usb3="00000000" w:csb0="2000019F" w:csb1="00000000"/>
  </w:font>
  <w:font w:name="SimSu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</w:fonts>
</file>

<file path=word/footer2.xml><?xml version="1.0" encoding="utf-8"?>
<w:ft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 w14:paraId="EBCB0291">
    <w:pPr>
      <w:pStyle w:val="style32"/>
      <w:rPr/>
    </w:pPr>
  </w:p>
  <w:p w14:paraId="93EC0AA5">
    <w:pPr>
      <w:pStyle w:val="style32"/>
      <w:rPr/>
    </w:pPr>
  </w:p>
  <w:p w14:paraId="D07C127B">
    <w:pPr>
      <w:pStyle w:val="style32"/>
      <w:rPr/>
    </w:pPr>
  </w:p>
  <w:p w14:paraId="804666E6">
    <w:pPr>
      <w:pStyle w:val="style32"/>
      <w:rPr/>
    </w:pPr>
  </w:p>
  <w:p w14:paraId="F5BFEEF9">
    <w:pPr>
      <w:pStyle w:val="style32"/>
      <w:rPr/>
    </w:pPr>
  </w:p>
</w:ftr>
</file>

<file path=word/header1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 w14:paraId="25B08FFB">
    <w:pPr>
      <w:pStyle w:val="style31"/>
      <w:rPr>
        <w:noProof/>
      </w:rPr>
    </w:pPr>
    <w:r>
      <w:rPr>
        <w:noProof/>
      </w:rPr>
      <w:drawing>
        <wp:anchor distT="0" distB="0" distL="0" distR="0" simplePos="false" relativeHeight="2" behindDoc="true" locked="false" layoutInCell="true" allowOverlap="true">
          <wp:simplePos x="0" y="0"/>
          <wp:positionH relativeFrom="page">
            <wp:align>right</wp:align>
          </wp:positionH>
          <wp:positionV relativeFrom="paragraph">
            <wp:posOffset>-437515</wp:posOffset>
          </wp:positionV>
          <wp:extent cx="7538782" cy="10674326"/>
          <wp:effectExtent l="0" t="0" r="5080" b="0"/>
          <wp:wrapNone/>
          <wp:docPr id="4097" name="Imagem 3"/>
          <wp:cNvGraphicFramePr>
            <a:graphicFrameLocks xmlns:a="http://schemas.openxmlformats.org/drawingml/2006/main" noChangeAspect="false" noSelect="false" noResize="false" noGrp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/>
                  <pic:cNvPicPr/>
                </pic:nvPicPr>
                <pic:blipFill>
                  <a:blip r:embed="rId1" cstate="print"/>
                  <a:srcRect l="0" t="0" r="0" b="0"/>
                  <a:stretch/>
                </pic:blipFill>
                <pic:spPr>
                  <a:xfrm rot="0">
                    <a:off x="0" y="0"/>
                    <a:ext cx="7538782" cy="10674326"/>
                  </a:xfrm>
                  <a:prstGeom prst="rect"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580CBE0">
    <w:pPr>
      <w:pStyle w:val="style31"/>
      <w:rPr>
        <w:noProof/>
      </w:rPr>
    </w:pPr>
  </w:p>
  <w:p w14:paraId="C7885C12">
    <w:pPr>
      <w:pStyle w:val="style31"/>
      <w:rPr>
        <w:noProof/>
      </w:rPr>
    </w:pPr>
  </w:p>
  <w:p w14:paraId="5EE38F55">
    <w:pPr>
      <w:pStyle w:val="style31"/>
      <w:rPr>
        <w:noProof/>
      </w:rPr>
    </w:pPr>
  </w:p>
  <w:p w14:paraId="F0CC3051">
    <w:pPr>
      <w:pStyle w:val="style31"/>
      <w:rPr>
        <w:noProof/>
      </w:rPr>
    </w:pPr>
  </w:p>
  <w:p w14:paraId="38419650">
    <w:pPr>
      <w:pStyle w:val="style31"/>
      <w:rPr>
        <w:noProof/>
      </w:rPr>
    </w:pPr>
  </w:p>
  <w:p w14:paraId="7050D5A3">
    <w:pPr>
      <w:pStyle w:val="style31"/>
      <w:rPr>
        <w:noProof/>
      </w:rPr>
    </w:pPr>
  </w:p>
  <w:p w14:paraId="FE84D42D">
    <w:pPr>
      <w:pStyle w:val="style31"/>
      <w:rPr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831C31FE"/>
    <w:lvl w:ilvl="0" w:tplc="CA0A582C">
      <w:start w:val="1"/>
      <w:numFmt w:val="bullet"/>
      <w:lvlText w:val=""/>
      <w:lvlJc w:val="left"/>
      <w:pPr>
        <w:ind w:left="720" w:hanging="360"/>
      </w:pPr>
      <w:rPr>
        <w:rFonts w:ascii="Symbol" w:cs="Arial" w:eastAsia="Aptos" w:hAnsi="Symbol" w:hint="default"/>
      </w:rPr>
    </w:lvl>
    <w:lvl w:ilvl="1" w:tplc="2718172C">
      <w:start w:val="1"/>
      <w:numFmt w:val="bullet"/>
      <w:lvlText w:val="•"/>
      <w:lvlJc w:val="left"/>
      <w:pPr>
        <w:ind w:left="1440" w:hanging="360"/>
      </w:pPr>
      <w:rPr>
        <w:rFonts w:ascii="Arial" w:cs="Arial" w:eastAsia="Aptos" w:hAnsi="Arial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0000001"/>
    <w:multiLevelType w:val="hybridMultilevel"/>
    <w:tmpl w:val="468AA6E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0000002"/>
    <w:multiLevelType w:val="hybridMultilevel"/>
    <w:tmpl w:val="13A8847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28"/>
  <w:proofState w:spelling="clean" w:grammar="clean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ptos" w:cs="宋体" w:eastAsia="Aptos" w:hAnsi="Aptos"/>
        <w:kern w:val="2"/>
        <w:sz w:val="24"/>
        <w:szCs w:val="24"/>
        <w:lang w:val="pt-BR" w:bidi="ar-SA" w:eastAsia="en-US"/>
        <w14:ligatures xmlns:w14="http://schemas.microsoft.com/office/word/2010/wordml" w14:val="standardContextual"/>
      </w:rPr>
    </w:rPrDefault>
    <w:pPrDefault>
      <w:pPr>
        <w:spacing w:after="160" w:lineRule="auto" w:line="278"/>
      </w:pPr>
    </w:pPrDefault>
  </w:docDefaults>
  <w:style w:type="paragraph" w:default="1" w:styleId="style0">
    <w:name w:val="Normal"/>
    <w:next w:val="style0"/>
    <w:qFormat/>
    <w:pPr/>
  </w:style>
  <w:style w:type="paragraph" w:styleId="style1">
    <w:name w:val="heading 1"/>
    <w:basedOn w:val="style0"/>
    <w:next w:val="style0"/>
    <w:link w:val="style4097"/>
    <w:qFormat/>
    <w:uiPriority w:val="9"/>
    <w:pPr>
      <w:keepNext/>
      <w:keepLines/>
      <w:spacing w:before="360" w:after="80"/>
      <w:outlineLvl w:val="0"/>
    </w:pPr>
    <w:rPr>
      <w:rFonts w:ascii="Aptos Display" w:cs="宋体" w:eastAsia="宋体" w:hAnsi="Aptos Display"/>
      <w:color w:val="0f4761"/>
      <w:sz w:val="40"/>
      <w:szCs w:val="40"/>
    </w:rPr>
  </w:style>
  <w:style w:type="paragraph" w:styleId="style2">
    <w:name w:val="heading 2"/>
    <w:basedOn w:val="style0"/>
    <w:next w:val="style0"/>
    <w:link w:val="style4098"/>
    <w:qFormat/>
    <w:uiPriority w:val="9"/>
    <w:pPr>
      <w:keepNext/>
      <w:keepLines/>
      <w:spacing w:before="160" w:after="80"/>
      <w:outlineLvl w:val="1"/>
    </w:pPr>
    <w:rPr>
      <w:rFonts w:ascii="Aptos Display" w:cs="宋体" w:eastAsia="宋体" w:hAnsi="Aptos Display"/>
      <w:color w:val="0f4761"/>
      <w:sz w:val="32"/>
      <w:szCs w:val="32"/>
    </w:rPr>
  </w:style>
  <w:style w:type="paragraph" w:styleId="style3">
    <w:name w:val="heading 3"/>
    <w:basedOn w:val="style0"/>
    <w:next w:val="style0"/>
    <w:link w:val="style4099"/>
    <w:qFormat/>
    <w:uiPriority w:val="9"/>
    <w:pPr>
      <w:keepNext/>
      <w:keepLines/>
      <w:spacing w:before="160" w:after="80"/>
      <w:outlineLvl w:val="2"/>
    </w:pPr>
    <w:rPr>
      <w:rFonts w:cs="宋体" w:eastAsia="宋体"/>
      <w:color w:val="0f4761"/>
      <w:sz w:val="28"/>
      <w:szCs w:val="28"/>
    </w:rPr>
  </w:style>
  <w:style w:type="paragraph" w:styleId="style4">
    <w:name w:val="heading 4"/>
    <w:basedOn w:val="style0"/>
    <w:next w:val="style0"/>
    <w:link w:val="style4100"/>
    <w:qFormat/>
    <w:uiPriority w:val="9"/>
    <w:pPr>
      <w:keepNext/>
      <w:keepLines/>
      <w:spacing w:before="80" w:after="40"/>
      <w:outlineLvl w:val="3"/>
    </w:pPr>
    <w:rPr>
      <w:rFonts w:cs="宋体" w:eastAsia="宋体"/>
      <w:i/>
      <w:iCs/>
      <w:color w:val="0f4761"/>
    </w:rPr>
  </w:style>
  <w:style w:type="paragraph" w:styleId="style5">
    <w:name w:val="heading 5"/>
    <w:basedOn w:val="style0"/>
    <w:next w:val="style0"/>
    <w:link w:val="style4101"/>
    <w:qFormat/>
    <w:uiPriority w:val="9"/>
    <w:pPr>
      <w:keepNext/>
      <w:keepLines/>
      <w:spacing w:before="80" w:after="40"/>
      <w:outlineLvl w:val="4"/>
    </w:pPr>
    <w:rPr>
      <w:rFonts w:cs="宋体" w:eastAsia="宋体"/>
      <w:color w:val="0f4761"/>
    </w:rPr>
  </w:style>
  <w:style w:type="paragraph" w:styleId="style6">
    <w:name w:val="heading 6"/>
    <w:basedOn w:val="style0"/>
    <w:next w:val="style0"/>
    <w:link w:val="style4102"/>
    <w:qFormat/>
    <w:uiPriority w:val="9"/>
    <w:pPr>
      <w:keepNext/>
      <w:keepLines/>
      <w:spacing w:before="40" w:after="0"/>
      <w:outlineLvl w:val="5"/>
    </w:pPr>
    <w:rPr>
      <w:rFonts w:cs="宋体" w:eastAsia="宋体"/>
      <w:i/>
      <w:iCs/>
      <w:color w:val="595959"/>
    </w:rPr>
  </w:style>
  <w:style w:type="paragraph" w:styleId="style7">
    <w:name w:val="heading 7"/>
    <w:basedOn w:val="style0"/>
    <w:next w:val="style0"/>
    <w:link w:val="style4103"/>
    <w:qFormat/>
    <w:uiPriority w:val="9"/>
    <w:pPr>
      <w:keepNext/>
      <w:keepLines/>
      <w:spacing w:before="40" w:after="0"/>
      <w:outlineLvl w:val="6"/>
    </w:pPr>
    <w:rPr>
      <w:rFonts w:cs="宋体" w:eastAsia="宋体"/>
      <w:color w:val="595959"/>
    </w:rPr>
  </w:style>
  <w:style w:type="paragraph" w:styleId="style8">
    <w:name w:val="heading 8"/>
    <w:basedOn w:val="style0"/>
    <w:next w:val="style0"/>
    <w:link w:val="style4104"/>
    <w:qFormat/>
    <w:uiPriority w:val="9"/>
    <w:pPr>
      <w:keepNext/>
      <w:keepLines/>
      <w:spacing w:after="0"/>
      <w:outlineLvl w:val="7"/>
    </w:pPr>
    <w:rPr>
      <w:rFonts w:cs="宋体" w:eastAsia="宋体"/>
      <w:i/>
      <w:iCs/>
      <w:color w:val="272727"/>
    </w:rPr>
  </w:style>
  <w:style w:type="paragraph" w:styleId="style9">
    <w:name w:val="heading 9"/>
    <w:basedOn w:val="style0"/>
    <w:next w:val="style0"/>
    <w:link w:val="style4105"/>
    <w:qFormat/>
    <w:uiPriority w:val="9"/>
    <w:pPr>
      <w:keepNext/>
      <w:keepLines/>
      <w:spacing w:after="0"/>
      <w:outlineLvl w:val="8"/>
    </w:pPr>
    <w:rPr>
      <w:rFonts w:cs="宋体" w:eastAsia="宋体"/>
      <w:color w:val="272727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character" w:customStyle="1" w:styleId="style4097">
    <w:name w:val="Título 1 Char"/>
    <w:basedOn w:val="style65"/>
    <w:next w:val="style4097"/>
    <w:link w:val="style1"/>
    <w:uiPriority w:val="9"/>
    <w:rPr>
      <w:rFonts w:ascii="Aptos Display" w:cs="宋体" w:eastAsia="宋体" w:hAnsi="Aptos Display"/>
      <w:color w:val="0f4761"/>
      <w:sz w:val="40"/>
      <w:szCs w:val="40"/>
    </w:rPr>
  </w:style>
  <w:style w:type="character" w:customStyle="1" w:styleId="style4098">
    <w:name w:val="Título 2 Char"/>
    <w:basedOn w:val="style65"/>
    <w:next w:val="style4098"/>
    <w:link w:val="style2"/>
    <w:uiPriority w:val="9"/>
    <w:rPr>
      <w:rFonts w:ascii="Aptos Display" w:cs="宋体" w:eastAsia="宋体" w:hAnsi="Aptos Display"/>
      <w:color w:val="0f4761"/>
      <w:sz w:val="32"/>
      <w:szCs w:val="32"/>
    </w:rPr>
  </w:style>
  <w:style w:type="character" w:customStyle="1" w:styleId="style4099">
    <w:name w:val="Título 3 Char"/>
    <w:basedOn w:val="style65"/>
    <w:next w:val="style4099"/>
    <w:link w:val="style3"/>
    <w:uiPriority w:val="9"/>
    <w:rPr>
      <w:rFonts w:cs="宋体" w:eastAsia="宋体"/>
      <w:color w:val="0f4761"/>
      <w:sz w:val="28"/>
      <w:szCs w:val="28"/>
    </w:rPr>
  </w:style>
  <w:style w:type="character" w:customStyle="1" w:styleId="style4100">
    <w:name w:val="Título 4 Char"/>
    <w:basedOn w:val="style65"/>
    <w:next w:val="style4100"/>
    <w:link w:val="style4"/>
    <w:uiPriority w:val="9"/>
    <w:rPr>
      <w:rFonts w:cs="宋体" w:eastAsia="宋体"/>
      <w:i/>
      <w:iCs/>
      <w:color w:val="0f4761"/>
    </w:rPr>
  </w:style>
  <w:style w:type="character" w:customStyle="1" w:styleId="style4101">
    <w:name w:val="Título 5 Char"/>
    <w:basedOn w:val="style65"/>
    <w:next w:val="style4101"/>
    <w:link w:val="style5"/>
    <w:uiPriority w:val="9"/>
    <w:rPr>
      <w:rFonts w:cs="宋体" w:eastAsia="宋体"/>
      <w:color w:val="0f4761"/>
    </w:rPr>
  </w:style>
  <w:style w:type="character" w:customStyle="1" w:styleId="style4102">
    <w:name w:val="Título 6 Char"/>
    <w:basedOn w:val="style65"/>
    <w:next w:val="style4102"/>
    <w:link w:val="style6"/>
    <w:uiPriority w:val="9"/>
    <w:rPr>
      <w:rFonts w:cs="宋体" w:eastAsia="宋体"/>
      <w:i/>
      <w:iCs/>
      <w:color w:val="595959"/>
    </w:rPr>
  </w:style>
  <w:style w:type="character" w:customStyle="1" w:styleId="style4103">
    <w:name w:val="Título 7 Char"/>
    <w:basedOn w:val="style65"/>
    <w:next w:val="style4103"/>
    <w:link w:val="style7"/>
    <w:uiPriority w:val="9"/>
    <w:rPr>
      <w:rFonts w:cs="宋体" w:eastAsia="宋体"/>
      <w:color w:val="595959"/>
    </w:rPr>
  </w:style>
  <w:style w:type="character" w:customStyle="1" w:styleId="style4104">
    <w:name w:val="Título 8 Char"/>
    <w:basedOn w:val="style65"/>
    <w:next w:val="style4104"/>
    <w:link w:val="style8"/>
    <w:uiPriority w:val="9"/>
    <w:rPr>
      <w:rFonts w:cs="宋体" w:eastAsia="宋体"/>
      <w:i/>
      <w:iCs/>
      <w:color w:val="272727"/>
    </w:rPr>
  </w:style>
  <w:style w:type="character" w:customStyle="1" w:styleId="style4105">
    <w:name w:val="Título 9 Char"/>
    <w:basedOn w:val="style65"/>
    <w:next w:val="style4105"/>
    <w:link w:val="style9"/>
    <w:uiPriority w:val="9"/>
    <w:rPr>
      <w:rFonts w:cs="宋体" w:eastAsia="宋体"/>
      <w:color w:val="272727"/>
    </w:rPr>
  </w:style>
  <w:style w:type="paragraph" w:styleId="style62">
    <w:name w:val="Title"/>
    <w:basedOn w:val="style0"/>
    <w:next w:val="style0"/>
    <w:link w:val="style4106"/>
    <w:qFormat/>
    <w:uiPriority w:val="10"/>
    <w:pPr>
      <w:spacing w:after="80" w:lineRule="auto" w:line="240"/>
      <w:contextualSpacing/>
    </w:pPr>
    <w:rPr>
      <w:rFonts w:ascii="Aptos Display" w:cs="宋体" w:eastAsia="宋体" w:hAnsi="Aptos Display"/>
      <w:spacing w:val="-10"/>
      <w:kern w:val="28"/>
      <w:sz w:val="56"/>
      <w:szCs w:val="56"/>
    </w:rPr>
  </w:style>
  <w:style w:type="character" w:customStyle="1" w:styleId="style4106">
    <w:name w:val="Título Char"/>
    <w:basedOn w:val="style65"/>
    <w:next w:val="style4106"/>
    <w:link w:val="style62"/>
    <w:uiPriority w:val="10"/>
    <w:rPr>
      <w:rFonts w:ascii="Aptos Display" w:cs="宋体" w:eastAsia="宋体" w:hAnsi="Aptos Display"/>
      <w:spacing w:val="-10"/>
      <w:kern w:val="28"/>
      <w:sz w:val="56"/>
      <w:szCs w:val="56"/>
    </w:rPr>
  </w:style>
  <w:style w:type="paragraph" w:styleId="style74">
    <w:name w:val="Subtitle"/>
    <w:basedOn w:val="style0"/>
    <w:next w:val="style0"/>
    <w:link w:val="style4107"/>
    <w:qFormat/>
    <w:uiPriority w:val="11"/>
    <w:pPr>
      <w:numPr>
        <w:ilvl w:val="1"/>
        <w:numId w:val="0"/>
      </w:numPr>
    </w:pPr>
    <w:rPr>
      <w:rFonts w:cs="宋体" w:eastAsia="宋体"/>
      <w:color w:val="595959"/>
      <w:spacing w:val="15"/>
      <w:sz w:val="28"/>
      <w:szCs w:val="28"/>
    </w:rPr>
  </w:style>
  <w:style w:type="character" w:customStyle="1" w:styleId="style4107">
    <w:name w:val="Subtítulo Char"/>
    <w:basedOn w:val="style65"/>
    <w:next w:val="style4107"/>
    <w:link w:val="style74"/>
    <w:uiPriority w:val="11"/>
    <w:rPr>
      <w:rFonts w:cs="宋体" w:eastAsia="宋体"/>
      <w:color w:val="595959"/>
      <w:spacing w:val="15"/>
      <w:sz w:val="28"/>
      <w:szCs w:val="28"/>
    </w:rPr>
  </w:style>
  <w:style w:type="paragraph" w:styleId="style180">
    <w:name w:val="Quote"/>
    <w:basedOn w:val="style0"/>
    <w:next w:val="style0"/>
    <w:link w:val="style4108"/>
    <w:qFormat/>
    <w:uiPriority w:val="29"/>
    <w:pPr>
      <w:spacing w:before="160"/>
      <w:jc w:val="center"/>
    </w:pPr>
    <w:rPr>
      <w:i/>
      <w:iCs/>
      <w:color w:val="404040"/>
    </w:rPr>
  </w:style>
  <w:style w:type="character" w:customStyle="1" w:styleId="style4108">
    <w:name w:val="Citação Char"/>
    <w:basedOn w:val="style65"/>
    <w:next w:val="style4108"/>
    <w:link w:val="style180"/>
    <w:uiPriority w:val="29"/>
    <w:rPr>
      <w:i/>
      <w:iCs/>
      <w:color w:val="404040"/>
    </w:rPr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character" w:styleId="style261">
    <w:name w:val="Intense Emphasis"/>
    <w:basedOn w:val="style65"/>
    <w:next w:val="style261"/>
    <w:qFormat/>
    <w:uiPriority w:val="21"/>
    <w:rPr>
      <w:i/>
      <w:iCs/>
      <w:color w:val="0f4761"/>
    </w:rPr>
  </w:style>
  <w:style w:type="paragraph" w:styleId="style181">
    <w:name w:val="Intense Quote"/>
    <w:basedOn w:val="style0"/>
    <w:next w:val="style0"/>
    <w:link w:val="style4109"/>
    <w:qFormat/>
    <w:uiPriority w:val="30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style4109">
    <w:name w:val="Citação Intensa Char"/>
    <w:basedOn w:val="style65"/>
    <w:next w:val="style4109"/>
    <w:link w:val="style181"/>
    <w:uiPriority w:val="30"/>
    <w:rPr>
      <w:i/>
      <w:iCs/>
      <w:color w:val="0f4761"/>
    </w:rPr>
  </w:style>
  <w:style w:type="character" w:styleId="style263">
    <w:name w:val="Intense Reference"/>
    <w:basedOn w:val="style65"/>
    <w:next w:val="style263"/>
    <w:qFormat/>
    <w:uiPriority w:val="32"/>
    <w:rPr>
      <w:b/>
      <w:bCs/>
      <w:smallCaps/>
      <w:color w:val="0f4761"/>
      <w:spacing w:val="5"/>
    </w:rPr>
  </w:style>
  <w:style w:type="paragraph" w:styleId="style31">
    <w:name w:val="header"/>
    <w:basedOn w:val="style0"/>
    <w:next w:val="style31"/>
    <w:link w:val="style4110"/>
    <w:uiPriority w:val="99"/>
    <w:pPr>
      <w:tabs>
        <w:tab w:val="center" w:leader="none" w:pos="4252"/>
        <w:tab w:val="right" w:leader="none" w:pos="8504"/>
      </w:tabs>
      <w:spacing w:after="0" w:lineRule="auto" w:line="240"/>
    </w:pPr>
    <w:rPr/>
  </w:style>
  <w:style w:type="character" w:customStyle="1" w:styleId="style4110">
    <w:name w:val="Cabeçalho Char"/>
    <w:basedOn w:val="style65"/>
    <w:next w:val="style4110"/>
    <w:link w:val="style31"/>
    <w:uiPriority w:val="99"/>
  </w:style>
  <w:style w:type="paragraph" w:styleId="style32">
    <w:name w:val="footer"/>
    <w:basedOn w:val="style0"/>
    <w:next w:val="style32"/>
    <w:link w:val="style4111"/>
    <w:uiPriority w:val="99"/>
    <w:pPr>
      <w:tabs>
        <w:tab w:val="center" w:leader="none" w:pos="4252"/>
        <w:tab w:val="right" w:leader="none" w:pos="8504"/>
      </w:tabs>
      <w:spacing w:after="0" w:lineRule="auto" w:line="240"/>
    </w:pPr>
    <w:rPr/>
  </w:style>
  <w:style w:type="character" w:customStyle="1" w:styleId="style4111">
    <w:name w:val="Rodapé Char"/>
    <w:basedOn w:val="style65"/>
    <w:next w:val="style4111"/>
    <w:link w:val="style32"/>
    <w:uiPriority w:val="99"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header" Target="header1.xml"/><Relationship Id="rId3" Type="http://schemas.openxmlformats.org/officeDocument/2006/relationships/footer" Target="footer2.xml"/><Relationship Id="rId4" Type="http://schemas.openxmlformats.org/officeDocument/2006/relationships/styles" Target="styles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Words>1363</Words>
  <Pages>6</Pages>
  <Characters>7742</Characters>
  <Application>WPS Office</Application>
  <DocSecurity>0</DocSecurity>
  <Paragraphs>626</Paragraphs>
  <ScaleCrop>false</ScaleCrop>
  <LinksUpToDate>false</LinksUpToDate>
  <CharactersWithSpaces>8631</CharactersWithSpaces>
  <SharedDoc>false</SharedDoc>
  <HyperlinksChanged>false</HyperlinksChanged>
  <AppVersion>16.000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2026-03-24T19:41:00Z</dcterms:created>
  <dc:creator>Carolina Kreischer</dc:creator>
  <lastModifiedBy>2410CRP4CG</lastModifiedBy>
  <dcterms:modified xsi:type="dcterms:W3CDTF">2026-07-07T13:02:14Z</dcterms:modified>
  <revision>4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034ee6712a4f409c8787d530bac73845_23</vt:lpwstr>
  </property>
</Properties>
</file>