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rFonts w:ascii="Arial" w:cs="Arial" w:hAnsi="Arial"/>
        </w:rPr>
      </w:pPr>
    </w:p>
    <w:p>
      <w:pPr>
        <w:pStyle w:val="style0"/>
        <w:jc w:val="center"/>
        <w:rPr>
          <w:rFonts w:ascii="Arial" w:cs="Arial" w:hAnsi="Arial"/>
        </w:rPr>
      </w:pPr>
    </w:p>
    <w:p>
      <w:pPr>
        <w:pStyle w:val="style0"/>
        <w:jc w:val="center"/>
        <w:rPr>
          <w:rFonts w:ascii="Arial" w:cs="Arial" w:hAnsi="Arial"/>
        </w:rPr>
      </w:pPr>
    </w:p>
    <w:p>
      <w:pPr>
        <w:pStyle w:val="style62"/>
        <w:jc w:val="center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ORÇAMENTO E CRONOGRAMA INICIAL</w:t>
      </w:r>
    </w:p>
    <w:p>
      <w:pPr>
        <w:pStyle w:val="style0"/>
        <w:rPr>
          <w:rFonts w:ascii="Arial" w:cs="Arial" w:hAnsi="Arial"/>
        </w:rPr>
      </w:pPr>
    </w:p>
    <w:p>
      <w:pPr>
        <w:pStyle w:val="style0"/>
        <w:rPr>
          <w:rFonts w:ascii="Arial" w:cs="Arial" w:hAnsi="Arial"/>
        </w:rPr>
      </w:pPr>
      <w:r>
        <w:rPr>
          <w:rFonts w:ascii="Arial" w:cs="Arial" w:hAnsi="Arial"/>
        </w:rPr>
        <w:t xml:space="preserve">Município: </w:t>
      </w:r>
      <w:r>
        <w:rPr>
          <w:rFonts w:ascii="Arial" w:cs="Arial" w:hAnsi="Arial"/>
        </w:rPr>
        <w:t xml:space="preserve">São Luís – MA</w:t>
      </w:r>
    </w:p>
    <w:p>
      <w:pPr>
        <w:pStyle w:val="style0"/>
        <w:rPr>
          <w:rFonts w:ascii="Arial" w:cs="Arial" w:hAnsi="Arial"/>
        </w:rPr>
      </w:pPr>
      <w:r>
        <w:rPr>
          <w:rFonts w:ascii="Arial" w:cs="Arial" w:hAnsi="Arial"/>
        </w:rPr>
        <w:t xml:space="preserve">Local: </w:t>
      </w:r>
      <w:r>
        <w:rPr>
          <w:rFonts w:ascii="Arial" w:cs="Arial" w:hAnsi="Arial"/>
        </w:rPr>
        <w:t xml:space="preserve">IEMA VOCACIONAL SÃO LUÍS - IDIOMAS – Rua Portugal, nº 199, Reviver, São Luís/MA</w:t>
      </w:r>
    </w:p>
    <w:p>
      <w:pPr>
        <w:pStyle w:val="style0"/>
        <w:rPr>
          <w:rFonts w:ascii="Arial" w:cs="Arial" w:hAnsi="Arial"/>
        </w:rPr>
      </w:pPr>
      <w:r>
        <w:rPr>
          <w:rFonts w:ascii="Arial" w:cs="Arial" w:hAnsi="Arial"/>
        </w:rPr>
        <w:t xml:space="preserve">Objeto: </w:t>
      </w:r>
      <w:r>
        <w:rPr>
          <w:rFonts w:ascii="Arial" w:cs="Arial" w:hAnsi="Arial"/>
        </w:rPr>
        <w:t xml:space="preserve">Reforma geral com serviços de pintura interna e externa, tratamento de reboco e impermeabilização, revestimento cerâmico, forro de gesso, reforma de cobertura (remoção e substituição de trama de madeira e telhamento), drenagem pluvial, serralheria e esquadrias, e serviços complementares</w:t>
      </w:r>
    </w:p>
    <w:p>
      <w:pPr>
        <w:pStyle w:val="style0"/>
        <w:rPr>
          <w:rFonts w:ascii="Arial" w:cs="Arial" w:hAnsi="Arial"/>
        </w:rPr>
      </w:pPr>
      <w:r>
        <w:rPr>
          <w:rFonts w:ascii="Arial" w:cs="Arial" w:hAnsi="Arial"/>
        </w:rPr>
        <w:t xml:space="preserve">Base de Preço: </w:t>
      </w:r>
      <w:r>
        <w:rPr>
          <w:rFonts w:ascii="Arial" w:cs="Arial" w:hAnsi="Arial"/>
        </w:rPr>
        <w:t>Base de Preço: SINAPI – Maranhão – Mai/2026 | ORSE – Sergipe – Set/2025</w:t>
      </w:r>
    </w:p>
    <w:p>
      <w:pPr>
        <w:pStyle w:val="style1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color w:val="auto"/>
          <w:sz w:val="22"/>
          <w:szCs w:val="22"/>
        </w:rPr>
        <w:t>1. PLANILHA DE VALORES</w:t>
      </w:r>
    </w:p>
    <w:p>
      <w:pPr>
        <w:pStyle w:val="style0"/>
        <w:rPr>
          <w:rFonts w:ascii="Arial" w:cs="Arial" w:hAnsi="Arial"/>
        </w:rPr>
      </w:pPr>
      <w:r>
        <w:rPr>
          <w:rFonts w:ascii="Arial" w:cs="Arial" w:hAnsi="Arial"/>
        </w:rPr>
        <w:t>A seguir, apresenta-se a planilha de valores contendo os itens previstos para execução da obra, com base na tabela SINAPI vigente. O BDI é aplicado uma única vez, sobre o valor total da planilha.</w:t>
      </w:r>
    </w:p>
    <w:tbl>
      <w:tblPr>
        <w:tblW w:w="10937" w:type="dxa"/>
        <w:jc w:val="center"/>
      </w:tblPr>
      <w:tblGrid>
        <w:gridCol w:w="681"/>
        <w:gridCol w:w="1207"/>
        <w:gridCol w:w="872"/>
        <w:gridCol w:w="3627"/>
        <w:gridCol w:w="659"/>
        <w:gridCol w:w="918"/>
        <w:gridCol w:w="1048"/>
        <w:gridCol w:w="1178"/>
        <w:gridCol w:w="747"/>
      </w:tblGrid>
      <w:tr>
        <w:trPr>
          <w:cantSplit w:val="false"/>
          <w:trHeight w:val="50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Item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Código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Banco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Descrição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Und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Quant.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Valor Unit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Total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Peso (%)</w:t>
            </w:r>
          </w:p>
        </w:tc>
      </w:tr>
      <w:tr>
        <w:trPr>
          <w:cantSplit w:val="false"/>
          <w:trHeight w:val="46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1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SERVIÇOS PRELIMINARES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432,00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0,35%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1.1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00004813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PLACA DE OBRA (PARA CONSTRUÇÃO CIVIL) EM CHAPA GALVANIZADA Nº 22, ADESIVADA, DE 2,4 X 1,2 M (SEM POSTES PARA FIXAÇÃO)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432,00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432,00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0,35%</w:t>
            </w:r>
          </w:p>
        </w:tc>
      </w:tr>
      <w:tr>
        <w:trPr>
          <w:cantSplit w:val="false"/>
          <w:trHeight w:val="46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2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ADMINISTRAÇÃO DE OBRAS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9.996,00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8,08%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2.1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90777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ENGENHEIRO CIVIL DE OBRA JÚNIOR COM ENCARGOS COMPLEMENTARES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H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130,54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6.527,00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5,28%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2.2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90776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ENCARREGADO GERAL COM ENCARGOS COMPLEMENTARES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H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34,69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3.469,00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2,80%</w:t>
            </w:r>
          </w:p>
        </w:tc>
      </w:tr>
      <w:tr>
        <w:trPr>
          <w:cantSplit w:val="false"/>
          <w:trHeight w:val="46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3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PINTURA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30.946,00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25,02%</w:t>
            </w:r>
          </w:p>
        </w:tc>
      </w:tr>
      <w:tr>
        <w:trPr>
          <w:cantSplit w:val="false"/>
          <w:trHeight w:val="46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3.1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PINTURA INTERNA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24.090,00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19,48%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3.1.1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88497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EMASSAMENTO COM MASSA LÁTEX, APLICAÇÃO EM PAREDE, DUAS DEMÃOS, LIXAMENTO MANUAL. AF_04/2023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500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17,78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8.890,00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7,19%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3.1.2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88485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FUNDO SELADOR ACRÍLICO, APLICAÇÃO MANUAL EM PAREDE, UMA DEMÃO. AF_04/2023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500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3,80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1.900,00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1,54%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3.1.3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88489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PINTURA LÁTEX ACRÍLICA PREMIUM, APLICAÇÃO MANUAL EM PAREDES, DUAS DEMÃOS. AF_04/2023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500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15,20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7.600,00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6,14%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3.1.4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102219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PINTURA TINTA DE ACABAMENTO (PIGMENTADA) ESMALTE SINTÉTICO ACETINADO EM MADEIRA, 2 DEMÃOS. AF_01/2021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17,10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1.710,00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1,38%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3.1.5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PROP-05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Próprio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TRATAMENTO ANTIFÚNGICO EM PAREDES INTERNAS, ANTES DA PINTURA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500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7,98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3.990,00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3,23%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/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/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PINTURA EXTERNA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/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/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/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6.856,00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5,54%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3.2.1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96135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APLICAÇÃO MANUAL DE MASSA ACRÍLICA EM PAREDES EXTERNAS DE CASAS, DUAS DEMÃOS. AF_03/2024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29,32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2.932,00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2,37%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3.2.2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88415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APLICAÇÃO MANUAL DE FUNDO SELADOR ACRÍLICO EM PAREDES EXTERNAS DE CASAS. AF_03/2024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4,23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423,00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0,34%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3.2.3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95626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APLICAÇÃO MANUAL DE TINTA LÁTEX ACRÍLICA EM PAREDE EXTERNAS DE CASAS, DUAS DEMÃOS. AF_03/2024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17,91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1.791,00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1,45%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3.2.4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102219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PINTURA TINTA DE ACABAMENTO (PIGMENTADA) ESMALTE SINTÉTICO ACETINADO EM MADEIRA, 2 DEMÃOS. AF_01/2021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17,10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1.710,00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1,38%</w:t>
            </w:r>
          </w:p>
        </w:tc>
      </w:tr>
      <w:tr>
        <w:trPr>
          <w:cantSplit w:val="false"/>
          <w:trHeight w:val="46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4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REVESTIMENTOS E FORRO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25.034,90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20,24%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4.1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96113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FORRO EM PLACAS DE GESSO, PARA AMBIENTES COMERCIAIS. AF_08/2023_PS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30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48,52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1.455,60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1,18%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4.2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PROP-04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Próprio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REMOÇÃO MANUAL DE REBOCO/EMBOÇO DETERIORADO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14,93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746,50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0,60%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4.3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87904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CHAPISCO APLICADO EM ALVENARIA (COM PRESENÇA DE VÃOS) E ESTRUTURAS DE CONCRETO DE FACHADA, COM COLHER DE PEDREIRO. ARGAMASSA TRAÇO 1:3 COM PREPARO MANUAL. AF_10/2022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9,08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454,00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0,37%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4.4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87777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EMBOÇO OU MASSA ÚNICA EM ARGAMASSA TRAÇO 1:2:8, PREPARO MANUAL, APLICADA MANUALMENTE EM PANOS DE FACHADA COM PRESENÇA DE VÃOS, ESPESSURA DE 25 MM. AF_08/2022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61,77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3.088,50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2,50%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4.5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87747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CONTRAPISO EM ARGAMASSA TRAÇO 1:4 (CIMENTO E AREIA), PREPARO MANUAL, APLICADO EM ÁREAS MOLHADAS SOBRE LAJE, ADERIDO, ACABAMENTO NÃO REFORÇADO, ESPESSURA 3CM. AF_07/2021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30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65,56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1.966,80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1,59%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4.6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87251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REVESTIMENTO CERÂMICO PARA PISO COM PLACAS TIPO ESMALTADA DE DIMENSÕES 45X45 CM APLICADA EM AMBIENTES DE ÁREA MAIOR QUE 10 M2. AF_02/2023_PE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30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65,70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1.971,00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1,59%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4.7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88649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RODAPÉ CERÂMICO DE 7CM DE ALTURA COM PLACAS TIPO ESMALTADA DE DIMENSÕES 45X45CM. AF_02/2023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150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10,35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1.552,50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1,26%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4.8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98562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IMPERMEABILIZAÇÃO DE SUPERFÍCIE COM ARGAMASSA DE CIMENTO E AREIA, COM ADITIVO IMPERMEABILIZANTE, E = 1,5CM. AF_09/2023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250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55,20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13.800,00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11,16%</w:t>
            </w:r>
          </w:p>
        </w:tc>
      </w:tr>
      <w:tr>
        <w:trPr>
          <w:cantSplit w:val="false"/>
          <w:trHeight w:val="46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5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COBERTURA E PLUVIAIS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42.296,80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34,19%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5.1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97647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REMOÇÃO DE TELHAS DE FIBROCIMENTO METÁLICA E CERÂMICA, DE FORMA MANUAL, SEM REAPROVEITAMENTO. AF_09/2023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180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3,53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635,40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0,51%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5.2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97650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REMOÇÃO DE TRAMA DE MADEIRA PARA COBERTURA, DE FORMA MANUAL, SEM REAPROVEITAMENTO. AF_09/2023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180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7,63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1.373,40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1,11%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5.3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92540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TRAMA DE MADEIRA COMPOSTA POR RIPAS, CAIBROS E TERÇAS PARA TELHADOS DE MAIS QUE 2 ÁGUAS PARA TELHA CERÂMICA OU DE CONCRETO, INCLUSO TRANSPORTE VERTICAL. AF_10/2025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180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111,61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20.089,80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16,24%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5.4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102234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PINTURA IMUNIZANTE PARA MADEIRA, 2 DEMÃOS. AF_01/2021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180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22,08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3.974,40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3,21%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5.5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94204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TELHAMENTO COM TELHA CERÂMICA CAPA-CANAL, TIPO COLONIAL, COM MAIS DE 2 ÁGUAS, INCLUSO TRANSPORTE VERTICAL. AF_07/2019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180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60,25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10.845,00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8,77%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5.6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100434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CALHA DE BEIRAL, SEMICIRCULAR DE PVC, DIÂMETRO 125 MM, INCLUINDO CABECEIRAS, EMENDAS, BOCAIS, SUPORTES E VEDAÇÕES, EXCLUINDO CONDUTORES, INCLUSO TRANSPORTE VERTICAL. AF_07/2019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30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157,84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4.735,20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3,83%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5.7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89578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TUBO PVC, SÉRIE R, ÁGUA PLUVIAL, DN 100 MM, FORNECIDO E INSTALADO EM CONDUTORES VERTICAIS DE ÁGUAS PLUVIAIS. AF_06/2022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20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32,18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643,60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0,52%</w:t>
            </w:r>
          </w:p>
        </w:tc>
      </w:tr>
      <w:tr>
        <w:trPr>
          <w:cantSplit w:val="false"/>
          <w:trHeight w:val="46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6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SERRALHERIA E ESQUADRIAS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12.686,26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10,26%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6.1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PROP-01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Próprio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VEDAÇÃO/SELANTE SILICONE CONTORNO DE ESQUADRIAS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UN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49,83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498,30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0,40%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6.2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PROP-02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Próprio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PORTÃO TIPO GRADE CASA DE BOMBA 70X70CM, COM FERROLHO E CADEADO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UN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433,79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433,79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0,35%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6.3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PROP-03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Próprio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COBERTURA EM POLICARBONATO COMPACTO 6MM, ESTRUTURA EM METALON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35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330,96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11.583,60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9,36%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6.4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102160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INSTALAÇÃO DE VIDRO IMPRESSO, E = 4 MM, EM ESQUADRIA DE MADEIRA, FIXADO COM BAGUETE. AF_11/2025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170,57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170,57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0,14%</w:t>
            </w:r>
          </w:p>
        </w:tc>
      </w:tr>
      <w:tr>
        <w:trPr>
          <w:cantSplit w:val="false"/>
          <w:trHeight w:val="46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7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SERVIÇOS AUXILIARES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1.227,29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0,99%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7.1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00010527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LOCAÇÃO DE ANDAIME METÁLICO TUBULAR DE ENCAIXE, TIPO DE TORRE, CADA PAINEL COM LARGURA DE 1 ATÉ 1,5 M E ALTURA DE 1,00 M, INCLUINDO DIAGONAL, BARRAS DE LIGAÇÃO, SAPATAS OU RODÍZIOS E DEMAIS ITENS NECESSÁRIOS À MONTAGEM (NÃO INCLUI INSTALAÇÃO)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MXMES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17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20,00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340,00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0,27%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7.2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97064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MONTAGEM E DESMONTAGEM DE ANDAIME TUBULAR TIPO "TORRE" (EXCLUSIVE ANDAIME E LIMPEZA). AF_03/2024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17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23,87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405,79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0,33%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7.3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100982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CARGA, MANOBRA E DESCARGA DE ENTULHO EM CAMINHÃO BASCULANTE 10 M³ - CARGA COM ESCAVADEIRA HIDRÁULICA (CAÇAMBA DE 0,80 M³ / 111 HP) E DESCARGA LIVRE. AF_07/2020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m³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9,63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481,50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0,39%</w:t>
            </w:r>
          </w:p>
        </w:tc>
      </w:tr>
      <w:tr>
        <w:trPr>
          <w:cantSplit w:val="false"/>
          <w:trHeight w:val="46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8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SERVIÇOS FINAIS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1.075,00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8ecf6" w:fill="d8ecf6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0,87%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8.1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99810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SINAPI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LIMPEZA DE PISO CERÂMICO/ PORCELANATO/ MÁRMORE/ GRANITO UTILIZANDO DETERGENTE NEUTRO E ESCOVAÇÃO MANUAL. AF_10/2025_PS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6,08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608,00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0,49%</w:t>
            </w:r>
          </w:p>
        </w:tc>
      </w:tr>
      <w:tr>
        <w:trPr>
          <w:cantSplit w:val="false"/>
          <w:trHeight w:val="650" w:hRule="atLeast"/>
          <w:tblHeader w:val="false"/>
          <w:jc w:val="center"/>
        </w:trPr>
        <w:tc>
          <w:tcPr>
            <w:tcW w:w="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8.2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PROP-06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Próprio</w:t>
            </w:r>
          </w:p>
        </w:tc>
        <w:tc>
          <w:tcPr>
            <w:tcW w:w="36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LIMPEZA/LAVAGEM GERAL DE FACHADA EXTERNA, ANTES DA PINTURA</w:t>
            </w:r>
          </w:p>
        </w:tc>
        <w:tc>
          <w:tcPr>
            <w:tcW w:w="6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m²</w:t>
            </w:r>
          </w:p>
        </w:tc>
        <w:tc>
          <w:tcPr>
            <w:tcW w:w="9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100</w:t>
            </w:r>
          </w:p>
        </w:tc>
        <w:tc>
          <w:tcPr>
            <w:tcW w:w="1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4,67</w:t>
            </w:r>
          </w:p>
        </w:tc>
        <w:tc>
          <w:tcPr>
            <w:tcW w:w="1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467,00</w:t>
            </w:r>
          </w:p>
        </w:tc>
        <w:tc>
          <w:tcPr>
            <w:tcW w:w="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dff0d8" w:fill="dff0d8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0,38%</w:t>
            </w:r>
          </w:p>
        </w:tc>
      </w:tr>
    </w:tbl>
    <w:p>
      <w:pPr>
        <w:pStyle w:val="style0"/>
        <w:jc w:val="center"/>
        <w:rPr>
          <w:rFonts w:ascii="Arial" w:cs="Arial" w:hAnsi="Arial"/>
        </w:rPr>
      </w:pPr>
    </w:p>
    <w:tbl>
      <w:tblPr>
        <w:tblW w:w="3107" w:type="dxa"/>
        <w:jc w:val="center"/>
      </w:tblPr>
      <w:tblGrid>
        <w:gridCol w:w="1476"/>
        <w:gridCol w:w="1631"/>
      </w:tblGrid>
      <w:tr>
        <w:trPr>
          <w:cantSplit w:val="false"/>
          <w:trHeight w:val="300" w:hRule="atLeast"/>
          <w:tblHeader w:val="false"/>
          <w:jc w:val="center"/>
        </w:trPr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Subtotal:</w:t>
            </w:r>
          </w:p>
        </w:tc>
        <w:tc>
          <w:tcPr>
            <w:tcW w:w="1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R$ 123.694,25</w:t>
            </w:r>
          </w:p>
        </w:tc>
      </w:tr>
      <w:tr>
        <w:trPr>
          <w:cantSplit w:val="false"/>
          <w:trHeight w:val="300" w:hRule="atLeast"/>
          <w:tblHeader w:val="false"/>
          <w:jc w:val="center"/>
        </w:trPr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BDI (25%):</w:t>
            </w:r>
          </w:p>
        </w:tc>
        <w:tc>
          <w:tcPr>
            <w:tcW w:w="1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R$ 30.923,56</w:t>
            </w:r>
          </w:p>
        </w:tc>
      </w:tr>
      <w:tr>
        <w:trPr>
          <w:cantSplit w:val="false"/>
          <w:trHeight w:val="300" w:hRule="atLeast"/>
          <w:tblHeader w:val="false"/>
          <w:jc w:val="center"/>
        </w:trPr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center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Total Geral:</w:t>
            </w:r>
          </w:p>
        </w:tc>
        <w:tc>
          <w:tcPr>
            <w:tcW w:w="1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R$ 154.617,81</w:t>
            </w:r>
          </w:p>
        </w:tc>
      </w:tr>
    </w:tbl>
    <w:p>
      <w:pPr>
        <w:pStyle w:val="style0"/>
        <w:jc w:val="center"/>
        <w:rPr>
          <w:rFonts w:ascii="Arial" w:cs="Arial" w:hAnsi="Arial"/>
        </w:rPr>
      </w:pPr>
    </w:p>
    <w:p>
      <w:pPr>
        <w:pStyle w:val="style1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color w:val="auto"/>
          <w:sz w:val="22"/>
          <w:szCs w:val="22"/>
        </w:rPr>
        <w:t>2. MEMORIAL DESCRITIVO DOS SERVIÇOS</w:t>
      </w:r>
    </w:p>
    <w:tbl>
      <w:tblPr>
        <w:tblW w:w="8494" w:type="dxa"/>
        <w:jc w:val="center"/>
      </w:tblPr>
      <w:tblGrid>
        <w:gridCol w:w="4247"/>
        <w:gridCol w:w="4247"/>
      </w:tblGrid>
      <w:tr>
        <w:trPr>
          <w:cantSplit w:val="false"/>
          <w:trHeight w:val="400" w:hRule="atLeast"/>
          <w:tblHeader w:val="false"/>
          <w:jc w:val="center"/>
        </w:trPr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TIPO DE SERVIÇO</w:t>
            </w:r>
          </w:p>
        </w:tc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DESCRIÇÃO</w:t>
            </w:r>
          </w:p>
        </w:tc>
      </w:tr>
      <w:tr>
        <w:trPr>
          <w:cantSplit w:val="false"/>
          <w:trHeight w:val="700" w:hRule="atLeast"/>
          <w:tblHeader w:val="false"/>
          <w:jc w:val="center"/>
        </w:trPr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Serviços Preliminares</w:t>
            </w:r>
          </w:p>
        </w:tc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Instalação de placa de obra de identificação em chapa galvanizada, conforme padrão do programa.</w:t>
            </w:r>
          </w:p>
        </w:tc>
      </w:tr>
      <w:tr>
        <w:trPr>
          <w:cantSplit w:val="false"/>
          <w:trHeight w:val="700" w:hRule="atLeast"/>
          <w:tblHeader w:val="false"/>
          <w:jc w:val="center"/>
        </w:trPr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Administração de Obras</w:t>
            </w:r>
          </w:p>
        </w:tc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Alocação de engenheiro civil júnior e encarregado geral para acompanhamento técnico e execução dos serviços.</w:t>
            </w:r>
          </w:p>
        </w:tc>
      </w:tr>
      <w:tr>
        <w:trPr>
          <w:cantSplit w:val="false"/>
          <w:trHeight w:val="700" w:hRule="atLeast"/>
          <w:tblHeader w:val="false"/>
          <w:jc w:val="center"/>
        </w:trPr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Pintura</w:t>
            </w:r>
          </w:p>
        </w:tc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Tratamento antifúngico e emassamento, aplicação de selador e pintura látex acrílica nas paredes internas; pintura em esmalte sintético nas esquadrias de madeira; massa acrílica, selador e pintura acrílica nas fachadas externas.</w:t>
            </w:r>
          </w:p>
        </w:tc>
      </w:tr>
      <w:tr>
        <w:trPr>
          <w:cantSplit w:val="false"/>
          <w:trHeight w:val="700" w:hRule="atLeast"/>
          <w:tblHeader w:val="false"/>
          <w:jc w:val="center"/>
        </w:trPr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Revestimentos e Forro</w:t>
            </w:r>
          </w:p>
        </w:tc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Instalação de forro em placas de gesso; remoção do reboco deteriorado, chapisco e novo emboço na fachada dos fundos; contrapiso e revestimento cerâmico no piso da cozinha; instalação de rodapé cerâmico; impermeabilização de superfície com argamassa impermeabilizante (250m², incluindo áreas de fachada, cozinha e margem de segurança).</w:t>
            </w:r>
          </w:p>
        </w:tc>
      </w:tr>
      <w:tr>
        <w:trPr>
          <w:cantSplit w:val="false"/>
          <w:trHeight w:val="700" w:hRule="atLeast"/>
          <w:tblHeader w:val="false"/>
          <w:jc w:val="center"/>
        </w:trPr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Cobertura e Pluviais</w:t>
            </w:r>
          </w:p>
        </w:tc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Remoção de telhas e trama de madeira comprometidas; execução de nova trama em madeira com tratamento imunizante; telhamento em telha cerâmica tipo colonial; instalação de calha e condutor vertical para águas pluviais.</w:t>
            </w:r>
          </w:p>
        </w:tc>
      </w:tr>
      <w:tr>
        <w:trPr>
          <w:cantSplit w:val="false"/>
          <w:trHeight w:val="700" w:hRule="atLeast"/>
          <w:tblHeader w:val="false"/>
          <w:jc w:val="center"/>
        </w:trPr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Serralheria e Esquadrias</w:t>
            </w:r>
          </w:p>
        </w:tc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Vedação com selante nas esquadrias existentes; confecção e instalação de portão metálico para a casa de bomba; execução de cobertura em policarbonato na passagem; substituição de vidro danificado.</w:t>
            </w:r>
          </w:p>
        </w:tc>
      </w:tr>
      <w:tr>
        <w:trPr>
          <w:cantSplit w:val="false"/>
          <w:trHeight w:val="700" w:hRule="atLeast"/>
          <w:tblHeader w:val="false"/>
          <w:jc w:val="center"/>
        </w:trPr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Serviços Auxiliares</w:t>
            </w:r>
          </w:p>
        </w:tc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Montagem, desmontagem e locação de andaime tubular tipo torre; carga e destinação do entulho gerado pela obra.</w:t>
            </w:r>
          </w:p>
        </w:tc>
      </w:tr>
      <w:tr>
        <w:trPr>
          <w:cantSplit w:val="false"/>
          <w:trHeight w:val="700" w:hRule="atLeast"/>
          <w:tblHeader w:val="false"/>
          <w:jc w:val="center"/>
        </w:trPr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Serviços Finais</w:t>
            </w:r>
          </w:p>
        </w:tc>
        <w:tc>
          <w:tcPr>
            <w:tcW w:w="4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Limpeza geral da obra.</w:t>
            </w:r>
          </w:p>
        </w:tc>
      </w:tr>
    </w:tbl>
    <w:p>
      <w:pPr>
        <w:pStyle w:val="style0"/>
        <w:jc w:val="center"/>
        <w:rPr>
          <w:rFonts w:ascii="Arial" w:cs="Arial" w:hAnsi="Arial"/>
        </w:rPr>
      </w:pPr>
    </w:p>
    <w:p>
      <w:pPr>
        <w:pStyle w:val="style1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color w:val="auto"/>
          <w:sz w:val="22"/>
          <w:szCs w:val="22"/>
        </w:rPr>
        <w:t>3. CRONOGRAMA FÍSICO-FINANCEIRO</w:t>
      </w:r>
    </w:p>
    <w:tbl>
      <w:tblPr>
        <w:tblW w:w="9700" w:type="dxa"/>
        <w:jc w:val="center"/>
      </w:tblPr>
      <w:tblGrid>
        <w:gridCol w:w="700"/>
        <w:gridCol w:w="3200"/>
        <w:gridCol w:w="1600"/>
        <w:gridCol w:w="1400"/>
        <w:gridCol w:w="1400"/>
        <w:gridCol w:w="1400"/>
      </w:tblGrid>
      <w:tr>
        <w:trPr>
          <w:cantSplit w:val="false"/>
          <w:trHeight w:val="400" w:hRule="atLeast"/>
          <w:tblHeader w:val="false"/>
          <w:jc w:val="center"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Item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Descrição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Total Por Etapa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10 DIAS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20 DIAS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30 DIAS</w:t>
            </w:r>
          </w:p>
        </w:tc>
      </w:tr>
      <w:tr>
        <w:trPr>
          <w:cantSplit w:val="false"/>
          <w:trHeight w:val="400" w:hRule="atLeast"/>
          <w:tblHeader w:val="false"/>
          <w:jc w:val="center"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SERVIÇOS PRELIMINARES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100,00% 540,00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40,00% 216,00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30,00% 162,00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30,00% 162,00</w:t>
            </w:r>
          </w:p>
        </w:tc>
      </w:tr>
      <w:tr>
        <w:trPr>
          <w:cantSplit w:val="false"/>
          <w:trHeight w:val="400" w:hRule="atLeast"/>
          <w:tblHeader w:val="false"/>
          <w:jc w:val="center"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ADMINISTRAÇÃO DE OBRAS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100,00% 12.495,00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40,00% 4.998,00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30,00% 3.748,50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30,00% 3.748,50</w:t>
            </w:r>
          </w:p>
        </w:tc>
      </w:tr>
      <w:tr>
        <w:trPr>
          <w:cantSplit w:val="false"/>
          <w:trHeight w:val="400" w:hRule="atLeast"/>
          <w:tblHeader w:val="false"/>
          <w:jc w:val="center"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PINTURA INTERNA E EXTERNA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100,00% 38.682,50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40,00% 15.473,00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30,00% 11.604,75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30,00% 11.604,75</w:t>
            </w:r>
          </w:p>
        </w:tc>
      </w:tr>
      <w:tr>
        <w:trPr>
          <w:cantSplit w:val="false"/>
          <w:trHeight w:val="400" w:hRule="atLeast"/>
          <w:tblHeader w:val="false"/>
          <w:jc w:val="center"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REVESTIMENTOS, FORRO E IMPERMEABILIZAÇÃO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100,00% 31.293,62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40,00% 12.517,45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30,00% 9.388,09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30,00% 9.388,09</w:t>
            </w:r>
          </w:p>
        </w:tc>
      </w:tr>
      <w:tr>
        <w:trPr>
          <w:cantSplit w:val="false"/>
          <w:trHeight w:val="400" w:hRule="atLeast"/>
          <w:tblHeader w:val="false"/>
          <w:jc w:val="center"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COBERTURA E ÁGUAS PLUVIAIS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100,00% 52.871,00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40,00% 21.148,40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30,00% 15.861,30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30,00% 15.861,30</w:t>
            </w:r>
          </w:p>
        </w:tc>
      </w:tr>
      <w:tr>
        <w:trPr>
          <w:cantSplit w:val="false"/>
          <w:trHeight w:val="400" w:hRule="atLeast"/>
          <w:tblHeader w:val="false"/>
          <w:jc w:val="center"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6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SERRALHERIA E ESQUADRIAS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100,00% 15.857,83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40,00% 6.343,13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30,00% 4.757,35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30,00% 4.757,35</w:t>
            </w:r>
          </w:p>
        </w:tc>
      </w:tr>
      <w:tr>
        <w:trPr>
          <w:cantSplit w:val="false"/>
          <w:trHeight w:val="400" w:hRule="atLeast"/>
          <w:tblHeader w:val="false"/>
          <w:jc w:val="center"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7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ANDAIME E REMOÇÃO DE ENTULHO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100,00% 1.534,11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40,00% 613,64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30,00% 460,23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30,00% 460,23</w:t>
            </w:r>
          </w:p>
        </w:tc>
      </w:tr>
      <w:tr>
        <w:trPr>
          <w:cantSplit w:val="false"/>
          <w:trHeight w:val="400" w:hRule="atLeast"/>
          <w:tblHeader w:val="false"/>
          <w:jc w:val="center"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sz w:val="20"/>
              </w:rPr>
              <w:t>8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hAnsi="Arial"/>
                <w:sz w:val="20"/>
              </w:rPr>
              <w:t>LIMPEZA FINAL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100,00% 1.343,75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40,00% 537,50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30,00% 403,12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sz w:val="20"/>
              </w:rPr>
              <w:t>30,00% 403,12</w:t>
            </w:r>
          </w:p>
        </w:tc>
      </w:tr>
      <w:tr>
        <w:trPr>
          <w:cantSplit w:val="false"/>
          <w:trHeight w:val="350" w:hRule="atLeast"/>
          <w:tblHeader w:val="false"/>
          <w:jc w:val="center"/>
        </w:trPr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Porcentagem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40,0%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30,0%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30,0%</w:t>
            </w:r>
          </w:p>
        </w:tc>
      </w:tr>
      <w:tr>
        <w:trPr>
          <w:cantSplit w:val="false"/>
          <w:trHeight w:val="350" w:hRule="atLeast"/>
          <w:tblHeader w:val="false"/>
          <w:jc w:val="center"/>
        </w:trPr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Custo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61.847,12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46.385,34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46.385,34</w:t>
            </w:r>
          </w:p>
        </w:tc>
      </w:tr>
      <w:tr>
        <w:trPr>
          <w:cantSplit w:val="false"/>
          <w:trHeight w:val="350" w:hRule="atLeast"/>
          <w:tblHeader w:val="false"/>
          <w:jc w:val="center"/>
        </w:trPr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>Custo Acumulado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left"/>
              <w:textAlignment w:val="top"/>
              <w:rPr/>
            </w:pPr>
            <w:r>
              <w:rPr>
                <w:rFonts w:ascii="Arial" w:cs="Arial" w:eastAsia="Arial" w:hAnsi="Arial" w:hint="default"/>
                <w:b/>
                <w:sz w:val="20"/>
              </w:rPr>
              <w:t xml:space="preserve"/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61.847,12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108.232,47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</w:tcPr>
          <w:p>
            <w:pPr>
              <w:jc w:val="right"/>
              <w:textAlignment w:val="top"/>
              <w:rPr/>
            </w:pPr>
            <w:r>
              <w:rPr>
                <w:rFonts w:ascii="Arial" w:hAnsi="Arial"/>
                <w:b/>
                <w:sz w:val="20"/>
              </w:rPr>
              <w:t>154.617,81</w:t>
            </w:r>
          </w:p>
        </w:tc>
      </w:tr>
    </w:tbl>
    <w:p>
      <w:pPr>
        <w:pStyle w:val="style0"/>
        <w:jc w:val="center"/>
        <w:rPr>
          <w:rFonts w:ascii="Arial" w:cs="Arial" w:hAnsi="Arial"/>
        </w:rPr>
      </w:pPr>
    </w:p>
    <w:p>
      <w:pPr>
        <w:pStyle w:val="style0"/>
        <w:jc w:val="right"/>
        <w:rPr>
          <w:rFonts w:ascii="Arial" w:cs="Arial" w:hAnsi="Arial"/>
        </w:rPr>
      </w:pPr>
      <w:r>
        <w:rPr>
          <w:rFonts w:ascii="Arial" w:cs="Arial" w:hAnsi="Arial"/>
        </w:rPr>
        <w:t xml:space="preserve">São Luís/MA, 06 de julho de 2026</w:t>
      </w:r>
    </w:p>
    <w:p>
      <w:pPr>
        <w:pStyle w:val="style0"/>
        <w:jc w:val="right"/>
        <w:rPr>
          <w:rFonts w:ascii="Arial" w:cs="Arial" w:hAnsi="Arial"/>
        </w:rPr>
      </w:pPr>
    </w:p>
    <w:p>
      <w:pPr>
        <w:pStyle w:val="style0"/>
        <w:pBdr>
          <w:bottom w:val="single" w:sz="12" w:space="1" w:color="auto"/>
        </w:pBdr>
        <w:rPr>
          <w:rFonts w:ascii="Arial" w:cs="Arial" w:hAnsi="Arial"/>
        </w:rPr>
      </w:pPr>
    </w:p>
    <w:p>
      <w:pPr>
        <w:pStyle w:val="style0"/>
        <w:spacing w:lineRule="auto" w:line="240"/>
        <w:jc w:val="center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KNC BRASIL LTDA</w:t>
      </w:r>
    </w:p>
    <w:p>
      <w:pPr>
        <w:pStyle w:val="style0"/>
        <w:spacing w:lineRule="auto" w:line="240"/>
        <w:jc w:val="center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CNPJ: 56.947.433/0001-03</w:t>
      </w:r>
    </w:p>
    <w:p>
      <w:pPr>
        <w:pStyle w:val="style0"/>
        <w:rPr/>
      </w:pPr>
    </w:p>
    <w:sectPr>
      <w:headerReference w:type="even" r:id="rId2"/>
      <w:headerReference w:type="default" r:id="rId3"/>
      <w:headerReference w:type="first" r:id="rId4"/>
      <w:pgSz w:w="11906" w:h="16838" w:orient="portrait"/>
      <w:pgMar w:top="2500" w:right="1701" w:bottom="2200" w:left="1701" w:header="708" w:footer="708" w:gutter="0"/>
      <w:titlePg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614D8042">
    <w:pPr>
      <w:pStyle w:val="style31"/>
      <w:rPr/>
    </w:pPr>
    <w:r>
      <w:rPr>
        <w:noProof/>
      </w:rPr>
      <w:drawing>
        <wp:anchor distT="0" distB="0" distL="0" distR="0" simplePos="false" relativeHeight="3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0692131"/>
          <wp:effectExtent l="0" t="0" r="0" b="0"/>
          <wp:wrapNone/>
          <wp:docPr id="4097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562215" cy="10692131"/>
                  </a:xfrm>
                  <a:prstGeom prst="rect"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6F85D037">
    <w:pPr>
      <w:pStyle w:val="style31"/>
      <w:rPr/>
    </w:pPr>
    <w:r>
      <w:rPr>
        <w:noProof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0692131"/>
          <wp:effectExtent l="0" t="0" r="0" b="0"/>
          <wp:wrapNone/>
          <wp:docPr id="4098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562215" cy="10692131"/>
                  </a:xfrm>
                  <a:prstGeom prst="rect"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62D4FC46"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0692131"/>
          <wp:effectExtent l="0" t="0" r="0" b="0"/>
          <wp:wrapNone/>
          <wp:docPr id="4099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562215" cy="10692131"/>
                  </a:xfrm>
                  <a:prstGeom prst="rect"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042B7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CC3487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25767608"/>
    <w:lvl w:ilvl="0" w:tplc="0416000F">
      <w:start w:val="1"/>
      <w:numFmt w:val="decimal"/>
      <w:lvlText w:val="%1."/>
      <w:lvlJc w:val="left"/>
      <w:pPr>
        <w:ind w:left="772" w:hanging="360"/>
      </w:pPr>
    </w:lvl>
    <w:lvl w:ilvl="1" w:tplc="04160019" w:tentative="1">
      <w:start w:val="1"/>
      <w:numFmt w:val="lowerLetter"/>
      <w:lvlText w:val="%2."/>
      <w:lvlJc w:val="left"/>
      <w:pPr>
        <w:ind w:left="1492" w:hanging="360"/>
      </w:pPr>
    </w:lvl>
    <w:lvl w:ilvl="2" w:tplc="0416001B" w:tentative="1">
      <w:start w:val="1"/>
      <w:numFmt w:val="lowerRoman"/>
      <w:lvlText w:val="%3."/>
      <w:lvlJc w:val="right"/>
      <w:pPr>
        <w:ind w:left="2212" w:hanging="180"/>
      </w:pPr>
    </w:lvl>
    <w:lvl w:ilvl="3" w:tplc="0416000F" w:tentative="1">
      <w:start w:val="1"/>
      <w:numFmt w:val="decimal"/>
      <w:lvlText w:val="%4."/>
      <w:lvlJc w:val="left"/>
      <w:pPr>
        <w:ind w:left="2932" w:hanging="360"/>
      </w:pPr>
    </w:lvl>
    <w:lvl w:ilvl="4" w:tplc="04160019" w:tentative="1">
      <w:start w:val="1"/>
      <w:numFmt w:val="lowerLetter"/>
      <w:lvlText w:val="%5."/>
      <w:lvlJc w:val="left"/>
      <w:pPr>
        <w:ind w:left="3652" w:hanging="360"/>
      </w:pPr>
    </w:lvl>
    <w:lvl w:ilvl="5" w:tplc="0416001B" w:tentative="1">
      <w:start w:val="1"/>
      <w:numFmt w:val="lowerRoman"/>
      <w:lvlText w:val="%6."/>
      <w:lvlJc w:val="right"/>
      <w:pPr>
        <w:ind w:left="4372" w:hanging="180"/>
      </w:pPr>
    </w:lvl>
    <w:lvl w:ilvl="6" w:tplc="0416000F" w:tentative="1">
      <w:start w:val="1"/>
      <w:numFmt w:val="decimal"/>
      <w:lvlText w:val="%7."/>
      <w:lvlJc w:val="left"/>
      <w:pPr>
        <w:ind w:left="5092" w:hanging="360"/>
      </w:pPr>
    </w:lvl>
    <w:lvl w:ilvl="7" w:tplc="04160019" w:tentative="1">
      <w:start w:val="1"/>
      <w:numFmt w:val="lowerLetter"/>
      <w:lvlText w:val="%8."/>
      <w:lvlJc w:val="left"/>
      <w:pPr>
        <w:ind w:left="5812" w:hanging="360"/>
      </w:pPr>
    </w:lvl>
    <w:lvl w:ilvl="8" w:tplc="0416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3">
    <w:nsid w:val="00000003"/>
    <w:multiLevelType w:val="hybridMultilevel"/>
    <w:tmpl w:val="8D78A6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6E8682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EA72D4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52E0E2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7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pt-BR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ítulo 1 Char"/>
    <w:basedOn w:val="style65"/>
    <w:next w:val="style4097"/>
    <w:link w:val="style1"/>
    <w:uiPriority w:val="9"/>
    <w:rPr>
      <w:rFonts w:ascii="Calibri Light" w:cs="SimSun" w:eastAsia="SimSun" w:hAnsi="Calibri Light"/>
      <w:color w:val="2f5496"/>
      <w:sz w:val="40"/>
      <w:szCs w:val="40"/>
    </w:rPr>
  </w:style>
  <w:style w:type="character" w:customStyle="1" w:styleId="style4098">
    <w:name w:val="Título 2 Char"/>
    <w:basedOn w:val="style65"/>
    <w:next w:val="style4098"/>
    <w:link w:val="style2"/>
    <w:uiPriority w:val="9"/>
    <w:rPr>
      <w:rFonts w:ascii="Calibri Light" w:cs="SimSun" w:eastAsia="SimSun" w:hAnsi="Calibri Light"/>
      <w:color w:val="2f5496"/>
      <w:sz w:val="32"/>
      <w:szCs w:val="32"/>
    </w:rPr>
  </w:style>
  <w:style w:type="character" w:customStyle="1" w:styleId="style4099">
    <w:name w:val="Título 3 Char"/>
    <w:basedOn w:val="style65"/>
    <w:next w:val="style4099"/>
    <w:link w:val="style3"/>
    <w:uiPriority w:val="9"/>
    <w:rPr>
      <w:rFonts w:cs="SimSun" w:eastAsia="SimSun"/>
      <w:color w:val="2f5496"/>
      <w:sz w:val="28"/>
      <w:szCs w:val="28"/>
    </w:rPr>
  </w:style>
  <w:style w:type="character" w:customStyle="1" w:styleId="style4100">
    <w:name w:val="Título 4 Char"/>
    <w:basedOn w:val="style65"/>
    <w:next w:val="style4100"/>
    <w:link w:val="style4"/>
    <w:uiPriority w:val="9"/>
    <w:rPr>
      <w:rFonts w:cs="SimSun" w:eastAsia="SimSun"/>
      <w:i/>
      <w:iCs/>
      <w:color w:val="2f5496"/>
    </w:rPr>
  </w:style>
  <w:style w:type="character" w:customStyle="1" w:styleId="style4101">
    <w:name w:val="Título 5 Char"/>
    <w:basedOn w:val="style65"/>
    <w:next w:val="style4101"/>
    <w:link w:val="style5"/>
    <w:uiPriority w:val="9"/>
    <w:rPr>
      <w:rFonts w:cs="SimSun" w:eastAsia="SimSun"/>
      <w:color w:val="2f5496"/>
    </w:rPr>
  </w:style>
  <w:style w:type="character" w:customStyle="1" w:styleId="style4102">
    <w:name w:val="Título 6 Char"/>
    <w:basedOn w:val="style65"/>
    <w:next w:val="style4102"/>
    <w:link w:val="style6"/>
    <w:uiPriority w:val="9"/>
    <w:rPr>
      <w:rFonts w:cs="SimSun" w:eastAsia="SimSun"/>
      <w:i/>
      <w:iCs/>
      <w:color w:val="595959"/>
    </w:rPr>
  </w:style>
  <w:style w:type="character" w:customStyle="1" w:styleId="style4103">
    <w:name w:val="Título 7 Char"/>
    <w:basedOn w:val="style65"/>
    <w:next w:val="style4103"/>
    <w:link w:val="style7"/>
    <w:uiPriority w:val="9"/>
    <w:rPr>
      <w:rFonts w:cs="SimSun" w:eastAsia="SimSun"/>
      <w:color w:val="595959"/>
    </w:rPr>
  </w:style>
  <w:style w:type="character" w:customStyle="1" w:styleId="style4104">
    <w:name w:val="Título 8 Char"/>
    <w:basedOn w:val="style65"/>
    <w:next w:val="style4104"/>
    <w:link w:val="style8"/>
    <w:uiPriority w:val="9"/>
    <w:rPr>
      <w:rFonts w:cs="SimSun" w:eastAsia="SimSun"/>
      <w:i/>
      <w:iCs/>
      <w:color w:val="272727"/>
    </w:rPr>
  </w:style>
  <w:style w:type="character" w:customStyle="1" w:styleId="style4105">
    <w:name w:val="Título 9 Char"/>
    <w:basedOn w:val="style65"/>
    <w:next w:val="style4105"/>
    <w:link w:val="style9"/>
    <w:uiPriority w:val="9"/>
    <w:rPr>
      <w:rFonts w:cs="SimSun" w:eastAsia="SimSun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style4106">
    <w:name w:val="Título Char"/>
    <w:basedOn w:val="style65"/>
    <w:next w:val="style4106"/>
    <w:link w:val="style62"/>
    <w:uiPriority w:val="10"/>
    <w:rPr>
      <w:rFonts w:ascii="Calibri Light" w:cs="SimSun" w:eastAsia="SimSun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tyle4107">
    <w:name w:val="Subtítulo Char"/>
    <w:basedOn w:val="style65"/>
    <w:next w:val="style4107"/>
    <w:link w:val="style74"/>
    <w:uiPriority w:val="11"/>
    <w:rPr>
      <w:rFonts w:cs="SimSun" w:eastAsia="SimSun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Citação Char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Citação Intensa Char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252"/>
        <w:tab w:val="right" w:leader="none" w:pos="8504"/>
      </w:tabs>
      <w:spacing w:after="0" w:lineRule="auto" w:line="240"/>
    </w:pPr>
    <w:rPr/>
  </w:style>
  <w:style w:type="character" w:customStyle="1" w:styleId="style4110">
    <w:name w:val="Cabeçalho Char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252"/>
        <w:tab w:val="right" w:leader="none" w:pos="8504"/>
      </w:tabs>
      <w:spacing w:after="0" w:lineRule="auto" w:line="240"/>
    </w:pPr>
    <w:rPr/>
  </w:style>
  <w:style w:type="character" w:customStyle="1" w:styleId="style4111">
    <w:name w:val="Rodapé Char"/>
    <w:basedOn w:val="style65"/>
    <w:next w:val="style4111"/>
    <w:link w:val="style32"/>
    <w:uiPriority w:val="99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Words>0</Words>
  <Pages>1</Pages>
  <Characters>0</Characters>
  <Application>WPS Office</Application>
  <DocSecurity>0</DocSecurity>
  <Paragraphs>7</Paragraphs>
  <ScaleCrop>false</ScaleCrop>
  <LinksUpToDate>false</LinksUpToDate>
  <CharactersWithSpaces>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2025-06-09T19:15:00Z</dcterms:created>
  <dc:creator>DoiT</dc:creator>
  <lastModifiedBy>2410CRP4CG</lastModifiedBy>
  <dcterms:modified xsi:type="dcterms:W3CDTF">2026-07-06T16:09:13Z</dcterms:modified>
  <revision>31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eaf6655b717a424e9d40c59ba875dda1</vt:lpwstr>
  </property>
</Properties>
</file>