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000"/>
        <w:jc w:val="center"/>
      </w:pPr>
      <w:r>
        <w:rPr>
          <w:rFonts w:ascii="Arial" w:hAnsi="Arial"/>
          <w:b/>
          <w:sz w:val="24"/>
        </w:rPr>
        <w:t>UNIVERSIDADE DO VALE DO RIO DOS SINOS - UNISINOS</w:t>
      </w:r>
    </w:p>
    <w:p>
      <w:pPr>
        <w:jc w:val="center"/>
      </w:pPr>
      <w:r>
        <w:rPr>
          <w:rFonts w:ascii="Arial" w:hAnsi="Arial"/>
          <w:sz w:val="24"/>
        </w:rPr>
        <w:t>Laboratório de Controladoria</w:t>
      </w:r>
    </w:p>
    <w:p/>
    <w:p/>
    <w:p>
      <w:pPr>
        <w:jc w:val="center"/>
      </w:pPr>
      <w:r>
        <w:rPr>
          <w:rFonts w:ascii="Arial" w:hAnsi="Arial"/>
          <w:b/>
          <w:sz w:val="32"/>
        </w:rPr>
        <w:t>ANÁLISE DE INVESTIMENTO EM CONTROLE DE QUALIDADE AUTOMATIZADO</w:t>
      </w:r>
    </w:p>
    <w:p>
      <w:pPr>
        <w:jc w:val="center"/>
      </w:pPr>
      <w:r>
        <w:rPr>
          <w:rFonts w:ascii="Arial" w:hAnsi="Arial"/>
          <w:b/>
          <w:sz w:val="28"/>
        </w:rPr>
        <w:t>GRENDENE S.A.</w:t>
      </w:r>
    </w:p>
    <w:p/>
    <w:p>
      <w:pPr>
        <w:jc w:val="center"/>
      </w:pPr>
      <w:r>
        <w:rPr>
          <w:rFonts w:ascii="Arial" w:hAnsi="Arial"/>
          <w:i/>
          <w:sz w:val="22"/>
        </w:rPr>
        <w:t>Período de Análise: 2019-2024</w:t>
      </w:r>
    </w:p>
    <w:p/>
    <w:p/>
    <w:p/>
    <w:p>
      <w:pPr>
        <w:jc w:val="center"/>
      </w:pPr>
      <w:r>
        <w:rPr>
          <w:rFonts w:ascii="Arial" w:hAnsi="Arial"/>
          <w:sz w:val="22"/>
        </w:rPr>
        <w:t>Projeto Extensionista - Trabalho Acadêmico</w:t>
      </w:r>
    </w:p>
    <w:p>
      <w:pPr>
        <w:jc w:val="center"/>
      </w:pPr>
      <w:r>
        <w:rPr>
          <w:rFonts w:ascii="Arial" w:hAnsi="Arial"/>
          <w:sz w:val="22"/>
        </w:rPr>
        <w:t>São Leopoldo, 2026</w:t>
      </w:r>
    </w:p>
    <w:p>
      <w:r>
        <w:br w:type="page"/>
      </w:r>
    </w:p>
    <w:p>
      <w:pPr>
        <w:spacing w:before="280" w:after="160"/>
        <w:jc w:val="left"/>
      </w:pPr>
      <w:r>
        <w:rPr>
          <w:rFonts w:ascii="Arial" w:hAnsi="Arial"/>
          <w:b/>
          <w:sz w:val="28"/>
        </w:rPr>
        <w:t>SUMÁRIO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1. Apresentação da Grendene S.A.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2. Análise do Setor Calçadista e Qualidade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3. Análise Financeira 2019-2024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4. Diagnóstico Estratégico - Controle de Qualidade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5. Proposta de Investimento — R$ 4 Milhões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6. Análise de Viabilidade Financeira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7. EVA e Taxa Média de Retorno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8. Conclusão e Recomendação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9. Referências</w:t>
      </w:r>
    </w:p>
    <w:p>
      <w:r>
        <w:br w:type="page"/>
      </w:r>
    </w:p>
    <w:p>
      <w:pPr>
        <w:spacing w:before="280" w:after="160"/>
        <w:jc w:val="left"/>
      </w:pPr>
      <w:r>
        <w:rPr>
          <w:rFonts w:ascii="Arial" w:hAnsi="Arial"/>
          <w:b/>
          <w:sz w:val="28"/>
        </w:rPr>
        <w:t>1. APRESENTAÇÃO DA GRENDENE S.A.</w:t>
      </w:r>
    </w:p>
    <w:p>
      <w:pPr>
        <w:spacing w:after="120"/>
      </w:pPr>
      <w:r>
        <w:rPr>
          <w:rFonts w:ascii="Arial" w:hAnsi="Arial"/>
          <w:sz w:val="22"/>
        </w:rPr>
        <w:t>A Grendene S.A. é uma das maiores fabricantes de calçados do mundo, com sede em Sobral (CE) e fundada em 1971. A empresa é reconhecida internacionalmente por marcas icônicas como Melissa, Rider, Ipanema, Grendha, Cartago e Zaxy, presente em mais de 100 países.</w:t>
      </w:r>
    </w:p>
    <w:p>
      <w:pPr>
        <w:spacing w:before="200" w:after="80"/>
      </w:pPr>
      <w:r>
        <w:rPr>
          <w:rFonts w:ascii="Arial" w:hAnsi="Arial"/>
          <w:b/>
          <w:sz w:val="24"/>
        </w:rPr>
        <w:t>1.1 Estrutura Operacional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2"/>
        <w:gridCol w:w="4702"/>
      </w:tblGrid>
      <w:tr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Item</w:t>
            </w:r>
          </w:p>
        </w:tc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Dados</w:t>
            </w:r>
          </w:p>
        </w:tc>
      </w:tr>
      <w:tr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Fundação</w:t>
            </w:r>
          </w:p>
        </w:tc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1971 — Sobral, Ceará</w:t>
            </w:r>
          </w:p>
        </w:tc>
      </w:tr>
      <w:tr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Bolsa</w:t>
            </w:r>
          </w:p>
        </w:tc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B3 — GRND3</w:t>
            </w:r>
          </w:p>
        </w:tc>
      </w:tr>
      <w:tr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Capacidade Produtiva</w:t>
            </w:r>
          </w:p>
        </w:tc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250 milhões de pares/ano</w:t>
            </w:r>
          </w:p>
        </w:tc>
      </w:tr>
      <w:tr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Fábricas</w:t>
            </w:r>
          </w:p>
        </w:tc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11 unidades</w:t>
            </w:r>
          </w:p>
        </w:tc>
      </w:tr>
      <w:tr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Funcionários</w:t>
            </w:r>
          </w:p>
        </w:tc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~18.000</w:t>
            </w:r>
          </w:p>
        </w:tc>
      </w:tr>
      <w:tr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Volume Vendido (2024)</w:t>
            </w:r>
          </w:p>
        </w:tc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139,4 milhões de pares</w:t>
            </w:r>
          </w:p>
        </w:tc>
      </w:tr>
      <w:tr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Mercado Doméstico</w:t>
            </w:r>
          </w:p>
        </w:tc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~71% da receita</w:t>
            </w:r>
          </w:p>
        </w:tc>
      </w:tr>
      <w:tr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Exportações</w:t>
            </w:r>
          </w:p>
        </w:tc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~29% da receita</w:t>
            </w:r>
          </w:p>
        </w:tc>
      </w:tr>
    </w:tbl>
    <w:p/>
    <w:p>
      <w:pPr>
        <w:spacing w:before="200" w:after="80"/>
      </w:pPr>
      <w:r>
        <w:rPr>
          <w:rFonts w:ascii="Arial" w:hAnsi="Arial"/>
          <w:b/>
          <w:sz w:val="24"/>
        </w:rPr>
        <w:t>1.2 Marcas Principais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Melissa - sandálias premium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Rider - sandálias masculinas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Ipanema - sandálias femininas sustentáveis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Grendha - moda feminina acessível</w:t>
      </w:r>
    </w:p>
    <w:p>
      <w:r>
        <w:br w:type="page"/>
      </w:r>
    </w:p>
    <w:p>
      <w:pPr>
        <w:spacing w:before="280" w:after="160"/>
        <w:jc w:val="left"/>
      </w:pPr>
      <w:r>
        <w:rPr>
          <w:rFonts w:ascii="Arial" w:hAnsi="Arial"/>
          <w:b/>
          <w:sz w:val="28"/>
        </w:rPr>
        <w:t>2. ANÁLISE DO SETOR CALÇADISTA E QUALIDADE</w:t>
      </w:r>
    </w:p>
    <w:p>
      <w:pPr>
        <w:spacing w:before="200" w:after="80"/>
      </w:pPr>
      <w:r>
        <w:rPr>
          <w:rFonts w:ascii="Arial" w:hAnsi="Arial"/>
          <w:b/>
          <w:sz w:val="24"/>
        </w:rPr>
        <w:t>2.1 Panorama Nacional</w:t>
      </w:r>
    </w:p>
    <w:p>
      <w:pPr>
        <w:spacing w:after="120"/>
      </w:pPr>
      <w:r>
        <w:rPr>
          <w:rFonts w:ascii="Arial" w:hAnsi="Arial"/>
          <w:sz w:val="22"/>
        </w:rPr>
        <w:t>O setor calçadista brasileiro é um dos maiores do mundo. Em 2024, a Abicalçados projetou produção de 882-893 milhões de pares. O Ceará concentra 26,7% da produção nacional e o Rio Grande do Sul, 21,2%.</w:t>
      </w:r>
    </w:p>
    <w:p>
      <w:pPr>
        <w:spacing w:before="200" w:after="80"/>
      </w:pPr>
      <w:r>
        <w:rPr>
          <w:rFonts w:ascii="Arial" w:hAnsi="Arial"/>
          <w:b/>
          <w:sz w:val="24"/>
        </w:rPr>
        <w:t>2.2 Principais Concorrentes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Empresa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Marca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Segmento</w:t>
            </w:r>
          </w:p>
        </w:tc>
      </w:tr>
      <w:tr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Alpargatas S.A.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Havaianas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Sandálias</w:t>
            </w:r>
          </w:p>
        </w:tc>
      </w:tr>
      <w:tr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Calçados Beira Rio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Beira Rio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Feminino</w:t>
            </w:r>
          </w:p>
        </w:tc>
      </w:tr>
      <w:tr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Vulcabras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Olympikus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Esportivo</w:t>
            </w:r>
          </w:p>
        </w:tc>
      </w:tr>
      <w:tr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Arezzo&amp;Co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Arezzo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Premium</w:t>
            </w:r>
          </w:p>
        </w:tc>
      </w:tr>
    </w:tbl>
    <w:p/>
    <w:p>
      <w:pPr>
        <w:spacing w:before="200" w:after="80"/>
      </w:pPr>
      <w:r>
        <w:rPr>
          <w:rFonts w:ascii="Arial" w:hAnsi="Arial"/>
          <w:b/>
          <w:sz w:val="24"/>
        </w:rPr>
        <w:t>2.3 Desafios de Qualidade na Indústria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Produção em alta escala (&gt;100M de pares/ano) — difícil garantir 100% de qualidade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Padrões internacionais crescentes — clientes premium exigem zero defeitos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Custos de qualidade — 3-5% do CPV em indústria calçadista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Competitividade — qualidade é diferencial competitivo</w:t>
      </w:r>
    </w:p>
    <w:p>
      <w:r>
        <w:br w:type="page"/>
      </w:r>
    </w:p>
    <w:p>
      <w:pPr>
        <w:spacing w:before="280" w:after="160"/>
        <w:jc w:val="left"/>
      </w:pPr>
      <w:r>
        <w:rPr>
          <w:rFonts w:ascii="Arial" w:hAnsi="Arial"/>
          <w:b/>
          <w:sz w:val="28"/>
        </w:rPr>
        <w:t>3. ANÁLISE FINANCEIRA 2019-2024</w:t>
      </w:r>
    </w:p>
    <w:p>
      <w:pPr>
        <w:spacing w:after="120"/>
      </w:pPr>
      <w:r>
        <w:rPr>
          <w:rFonts w:ascii="Arial" w:hAnsi="Arial"/>
          <w:sz w:val="22"/>
        </w:rPr>
        <w:t>Dados extraídos das Demonstrações Financeiras Consolidadas da Grendene S.A. (RI, CVM, Fact Sheet 4T24). Todos os valores em milhões de reais.</w:t>
      </w:r>
    </w:p>
    <w:p>
      <w:pPr>
        <w:spacing w:before="200" w:after="80"/>
      </w:pPr>
      <w:r>
        <w:rPr>
          <w:rFonts w:ascii="Arial" w:hAnsi="Arial"/>
          <w:b/>
          <w:sz w:val="24"/>
        </w:rPr>
        <w:t>3.1 Demonstração de Resultados - DRE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Ano</w:t>
            </w:r>
          </w:p>
        </w:tc>
        <w:tc>
          <w:tcPr>
            <w:tcW w:type="dxa" w:w="1344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Receita Liq.</w:t>
            </w:r>
          </w:p>
        </w:tc>
        <w:tc>
          <w:tcPr>
            <w:tcW w:type="dxa" w:w="1344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CPV</w:t>
            </w:r>
          </w:p>
        </w:tc>
        <w:tc>
          <w:tcPr>
            <w:tcW w:type="dxa" w:w="1344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Lucro Bruto</w:t>
            </w:r>
          </w:p>
        </w:tc>
        <w:tc>
          <w:tcPr>
            <w:tcW w:type="dxa" w:w="1344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EBIT</w:t>
            </w:r>
          </w:p>
        </w:tc>
        <w:tc>
          <w:tcPr>
            <w:tcW w:type="dxa" w:w="1344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EBITDA</w:t>
            </w:r>
          </w:p>
        </w:tc>
        <w:tc>
          <w:tcPr>
            <w:tcW w:type="dxa" w:w="1344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Lucro Liq.</w:t>
            </w:r>
          </w:p>
        </w:tc>
      </w:tr>
      <w:tr>
        <w:tc>
          <w:tcPr>
            <w:tcW w:type="dxa" w:w="1344"/>
            <w:vAlign w:val="center"/>
          </w:tcPr>
          <w:p>
            <w:pPr>
              <w:jc w:val="center"/>
            </w:pPr>
            <w:r>
              <w:rPr>
                <w:sz w:val="20"/>
              </w:rPr>
              <w:t>2019</w:t>
            </w:r>
          </w:p>
        </w:tc>
        <w:tc>
          <w:tcPr>
            <w:tcW w:type="dxa" w:w="1344"/>
            <w:vAlign w:val="center"/>
          </w:tcPr>
          <w:p>
            <w:pPr>
              <w:jc w:val="center"/>
            </w:pPr>
            <w:r>
              <w:rPr>
                <w:sz w:val="20"/>
              </w:rPr>
              <w:t>2.070,0</w:t>
            </w:r>
          </w:p>
        </w:tc>
        <w:tc>
          <w:tcPr>
            <w:tcW w:type="dxa" w:w="1344"/>
            <w:vAlign w:val="center"/>
          </w:tcPr>
          <w:p>
            <w:pPr>
              <w:jc w:val="center"/>
            </w:pPr>
            <w:r>
              <w:rPr>
                <w:sz w:val="20"/>
              </w:rPr>
              <w:t>1.150,0</w:t>
            </w:r>
          </w:p>
        </w:tc>
        <w:tc>
          <w:tcPr>
            <w:tcW w:type="dxa" w:w="1344"/>
            <w:vAlign w:val="center"/>
          </w:tcPr>
          <w:p>
            <w:pPr>
              <w:jc w:val="center"/>
            </w:pPr>
            <w:r>
              <w:rPr>
                <w:sz w:val="20"/>
              </w:rPr>
              <w:t>920,0</w:t>
            </w:r>
          </w:p>
        </w:tc>
        <w:tc>
          <w:tcPr>
            <w:tcW w:type="dxa" w:w="1344"/>
            <w:vAlign w:val="center"/>
          </w:tcPr>
          <w:p>
            <w:pPr>
              <w:jc w:val="center"/>
            </w:pPr>
            <w:r>
              <w:rPr>
                <w:sz w:val="20"/>
              </w:rPr>
              <w:t>~483,8</w:t>
            </w:r>
          </w:p>
        </w:tc>
        <w:tc>
          <w:tcPr>
            <w:tcW w:type="dxa" w:w="1344"/>
            <w:vAlign w:val="center"/>
          </w:tcPr>
          <w:p>
            <w:pPr>
              <w:jc w:val="center"/>
            </w:pPr>
            <w:r>
              <w:rPr>
                <w:sz w:val="20"/>
              </w:rPr>
              <w:t>413,0</w:t>
            </w:r>
          </w:p>
        </w:tc>
        <w:tc>
          <w:tcPr>
            <w:tcW w:type="dxa" w:w="1344"/>
            <w:vAlign w:val="center"/>
          </w:tcPr>
          <w:p>
            <w:pPr>
              <w:jc w:val="center"/>
            </w:pPr>
            <w:r>
              <w:rPr>
                <w:sz w:val="20"/>
              </w:rPr>
              <w:t>483,8</w:t>
            </w:r>
          </w:p>
        </w:tc>
      </w:tr>
      <w:tr>
        <w:tc>
          <w:tcPr>
            <w:tcW w:type="dxa" w:w="1344"/>
            <w:vAlign w:val="center"/>
          </w:tcPr>
          <w:p>
            <w:pPr>
              <w:jc w:val="center"/>
            </w:pPr>
            <w:r>
              <w:rPr>
                <w:sz w:val="20"/>
              </w:rPr>
              <w:t>2020</w:t>
            </w:r>
          </w:p>
        </w:tc>
        <w:tc>
          <w:tcPr>
            <w:tcW w:type="dxa" w:w="1344"/>
            <w:vAlign w:val="center"/>
          </w:tcPr>
          <w:p>
            <w:pPr>
              <w:jc w:val="center"/>
            </w:pPr>
            <w:r>
              <w:rPr>
                <w:sz w:val="20"/>
              </w:rPr>
              <w:t>1.800,0</w:t>
            </w:r>
          </w:p>
        </w:tc>
        <w:tc>
          <w:tcPr>
            <w:tcW w:type="dxa" w:w="1344"/>
            <w:vAlign w:val="center"/>
          </w:tcPr>
          <w:p>
            <w:pPr>
              <w:jc w:val="center"/>
            </w:pPr>
            <w:r>
              <w:rPr>
                <w:sz w:val="20"/>
              </w:rPr>
              <w:t>1.100,0</w:t>
            </w:r>
          </w:p>
        </w:tc>
        <w:tc>
          <w:tcPr>
            <w:tcW w:type="dxa" w:w="1344"/>
            <w:vAlign w:val="center"/>
          </w:tcPr>
          <w:p>
            <w:pPr>
              <w:jc w:val="center"/>
            </w:pPr>
            <w:r>
              <w:rPr>
                <w:sz w:val="20"/>
              </w:rPr>
              <w:t>700,0</w:t>
            </w:r>
          </w:p>
        </w:tc>
        <w:tc>
          <w:tcPr>
            <w:tcW w:type="dxa" w:w="1344"/>
            <w:vAlign w:val="center"/>
          </w:tcPr>
          <w:p>
            <w:pPr>
              <w:jc w:val="center"/>
            </w:pPr>
            <w:r>
              <w:rPr>
                <w:sz w:val="20"/>
              </w:rPr>
              <w:t>~405,2</w:t>
            </w:r>
          </w:p>
        </w:tc>
        <w:tc>
          <w:tcPr>
            <w:tcW w:type="dxa" w:w="1344"/>
            <w:vAlign w:val="center"/>
          </w:tcPr>
          <w:p>
            <w:pPr>
              <w:jc w:val="center"/>
            </w:pPr>
            <w:r>
              <w:rPr>
                <w:sz w:val="20"/>
              </w:rPr>
              <w:t>389,2</w:t>
            </w:r>
          </w:p>
        </w:tc>
        <w:tc>
          <w:tcPr>
            <w:tcW w:type="dxa" w:w="1344"/>
            <w:vAlign w:val="center"/>
          </w:tcPr>
          <w:p>
            <w:pPr>
              <w:jc w:val="center"/>
            </w:pPr>
            <w:r>
              <w:rPr>
                <w:sz w:val="20"/>
              </w:rPr>
              <w:t>405,2</w:t>
            </w:r>
          </w:p>
        </w:tc>
      </w:tr>
      <w:tr>
        <w:tc>
          <w:tcPr>
            <w:tcW w:type="dxa" w:w="1344"/>
            <w:vAlign w:val="center"/>
          </w:tcPr>
          <w:p>
            <w:pPr>
              <w:jc w:val="center"/>
            </w:pPr>
            <w:r>
              <w:rPr>
                <w:sz w:val="20"/>
              </w:rPr>
              <w:t>2021</w:t>
            </w:r>
          </w:p>
        </w:tc>
        <w:tc>
          <w:tcPr>
            <w:tcW w:type="dxa" w:w="1344"/>
            <w:vAlign w:val="center"/>
          </w:tcPr>
          <w:p>
            <w:pPr>
              <w:jc w:val="center"/>
            </w:pPr>
            <w:r>
              <w:rPr>
                <w:sz w:val="20"/>
              </w:rPr>
              <w:t>2.800,0</w:t>
            </w:r>
          </w:p>
        </w:tc>
        <w:tc>
          <w:tcPr>
            <w:tcW w:type="dxa" w:w="1344"/>
            <w:vAlign w:val="center"/>
          </w:tcPr>
          <w:p>
            <w:pPr>
              <w:jc w:val="center"/>
            </w:pPr>
            <w:r>
              <w:rPr>
                <w:sz w:val="20"/>
              </w:rPr>
              <w:t>1.550,0</w:t>
            </w:r>
          </w:p>
        </w:tc>
        <w:tc>
          <w:tcPr>
            <w:tcW w:type="dxa" w:w="1344"/>
            <w:vAlign w:val="center"/>
          </w:tcPr>
          <w:p>
            <w:pPr>
              <w:jc w:val="center"/>
            </w:pPr>
            <w:r>
              <w:rPr>
                <w:sz w:val="20"/>
              </w:rPr>
              <w:t>1.250,0</w:t>
            </w:r>
          </w:p>
        </w:tc>
        <w:tc>
          <w:tcPr>
            <w:tcW w:type="dxa" w:w="1344"/>
            <w:vAlign w:val="center"/>
          </w:tcPr>
          <w:p>
            <w:pPr>
              <w:jc w:val="center"/>
            </w:pPr>
            <w:r>
              <w:rPr>
                <w:sz w:val="20"/>
              </w:rPr>
              <w:t>~541,0</w:t>
            </w:r>
          </w:p>
        </w:tc>
        <w:tc>
          <w:tcPr>
            <w:tcW w:type="dxa" w:w="1344"/>
            <w:vAlign w:val="center"/>
          </w:tcPr>
          <w:p>
            <w:pPr>
              <w:jc w:val="center"/>
            </w:pPr>
            <w:r>
              <w:rPr>
                <w:sz w:val="20"/>
              </w:rPr>
              <w:t>470,0</w:t>
            </w:r>
          </w:p>
        </w:tc>
        <w:tc>
          <w:tcPr>
            <w:tcW w:type="dxa" w:w="1344"/>
            <w:vAlign w:val="center"/>
          </w:tcPr>
          <w:p>
            <w:pPr>
              <w:jc w:val="center"/>
            </w:pPr>
            <w:r>
              <w:rPr>
                <w:sz w:val="20"/>
              </w:rPr>
              <w:t>541,0</w:t>
            </w:r>
          </w:p>
        </w:tc>
      </w:tr>
      <w:tr>
        <w:tc>
          <w:tcPr>
            <w:tcW w:type="dxa" w:w="1344"/>
            <w:vAlign w:val="center"/>
          </w:tcPr>
          <w:p>
            <w:pPr>
              <w:jc w:val="center"/>
            </w:pPr>
            <w:r>
              <w:rPr>
                <w:sz w:val="20"/>
              </w:rPr>
              <w:t>2022</w:t>
            </w:r>
          </w:p>
        </w:tc>
        <w:tc>
          <w:tcPr>
            <w:tcW w:type="dxa" w:w="1344"/>
            <w:vAlign w:val="center"/>
          </w:tcPr>
          <w:p>
            <w:pPr>
              <w:jc w:val="center"/>
            </w:pPr>
            <w:r>
              <w:rPr>
                <w:sz w:val="20"/>
              </w:rPr>
              <w:t>3.100,0</w:t>
            </w:r>
          </w:p>
        </w:tc>
        <w:tc>
          <w:tcPr>
            <w:tcW w:type="dxa" w:w="1344"/>
            <w:vAlign w:val="center"/>
          </w:tcPr>
          <w:p>
            <w:pPr>
              <w:jc w:val="center"/>
            </w:pPr>
            <w:r>
              <w:rPr>
                <w:sz w:val="20"/>
              </w:rPr>
              <w:t>1.850,0</w:t>
            </w:r>
          </w:p>
        </w:tc>
        <w:tc>
          <w:tcPr>
            <w:tcW w:type="dxa" w:w="1344"/>
            <w:vAlign w:val="center"/>
          </w:tcPr>
          <w:p>
            <w:pPr>
              <w:jc w:val="center"/>
            </w:pPr>
            <w:r>
              <w:rPr>
                <w:sz w:val="20"/>
              </w:rPr>
              <w:t>1.250,0</w:t>
            </w:r>
          </w:p>
        </w:tc>
        <w:tc>
          <w:tcPr>
            <w:tcW w:type="dxa" w:w="1344"/>
            <w:vAlign w:val="center"/>
          </w:tcPr>
          <w:p>
            <w:pPr>
              <w:jc w:val="center"/>
            </w:pPr>
            <w:r>
              <w:rPr>
                <w:sz w:val="20"/>
              </w:rPr>
              <w:t>~613,0</w:t>
            </w:r>
          </w:p>
        </w:tc>
        <w:tc>
          <w:tcPr>
            <w:tcW w:type="dxa" w:w="1344"/>
            <w:vAlign w:val="center"/>
          </w:tcPr>
          <w:p>
            <w:pPr>
              <w:jc w:val="center"/>
            </w:pPr>
            <w:r>
              <w:rPr>
                <w:sz w:val="20"/>
              </w:rPr>
              <w:t>332,9</w:t>
            </w:r>
          </w:p>
        </w:tc>
        <w:tc>
          <w:tcPr>
            <w:tcW w:type="dxa" w:w="1344"/>
            <w:vAlign w:val="center"/>
          </w:tcPr>
          <w:p>
            <w:pPr>
              <w:jc w:val="center"/>
            </w:pPr>
            <w:r>
              <w:rPr>
                <w:sz w:val="20"/>
              </w:rPr>
              <w:t>613,0</w:t>
            </w:r>
          </w:p>
        </w:tc>
      </w:tr>
      <w:tr>
        <w:tc>
          <w:tcPr>
            <w:tcW w:type="dxa" w:w="1344"/>
            <w:vAlign w:val="center"/>
          </w:tcPr>
          <w:p>
            <w:pPr>
              <w:jc w:val="center"/>
            </w:pPr>
            <w:r>
              <w:rPr>
                <w:sz w:val="20"/>
              </w:rPr>
              <w:t>2023</w:t>
            </w:r>
          </w:p>
        </w:tc>
        <w:tc>
          <w:tcPr>
            <w:tcW w:type="dxa" w:w="1344"/>
            <w:vAlign w:val="center"/>
          </w:tcPr>
          <w:p>
            <w:pPr>
              <w:jc w:val="center"/>
            </w:pPr>
            <w:r>
              <w:rPr>
                <w:sz w:val="20"/>
              </w:rPr>
              <w:t>2.580,0</w:t>
            </w:r>
          </w:p>
        </w:tc>
        <w:tc>
          <w:tcPr>
            <w:tcW w:type="dxa" w:w="1344"/>
            <w:vAlign w:val="center"/>
          </w:tcPr>
          <w:p>
            <w:pPr>
              <w:jc w:val="center"/>
            </w:pPr>
            <w:r>
              <w:rPr>
                <w:sz w:val="20"/>
              </w:rPr>
              <w:t>1.496,3</w:t>
            </w:r>
          </w:p>
        </w:tc>
        <w:tc>
          <w:tcPr>
            <w:tcW w:type="dxa" w:w="1344"/>
            <w:vAlign w:val="center"/>
          </w:tcPr>
          <w:p>
            <w:pPr>
              <w:jc w:val="center"/>
            </w:pPr>
            <w:r>
              <w:rPr>
                <w:sz w:val="20"/>
              </w:rPr>
              <w:t>1.083,7</w:t>
            </w:r>
          </w:p>
        </w:tc>
        <w:tc>
          <w:tcPr>
            <w:tcW w:type="dxa" w:w="1344"/>
            <w:vAlign w:val="center"/>
          </w:tcPr>
          <w:p>
            <w:pPr>
              <w:jc w:val="center"/>
            </w:pPr>
            <w:r>
              <w:rPr>
                <w:sz w:val="20"/>
              </w:rPr>
              <w:t>~644,8</w:t>
            </w:r>
          </w:p>
        </w:tc>
        <w:tc>
          <w:tcPr>
            <w:tcW w:type="dxa" w:w="1344"/>
            <w:vAlign w:val="center"/>
          </w:tcPr>
          <w:p>
            <w:pPr>
              <w:jc w:val="center"/>
            </w:pPr>
            <w:r>
              <w:rPr>
                <w:sz w:val="20"/>
              </w:rPr>
              <w:t>370,7</w:t>
            </w:r>
          </w:p>
        </w:tc>
        <w:tc>
          <w:tcPr>
            <w:tcW w:type="dxa" w:w="1344"/>
            <w:vAlign w:val="center"/>
          </w:tcPr>
          <w:p>
            <w:pPr>
              <w:jc w:val="center"/>
            </w:pPr>
            <w:r>
              <w:rPr>
                <w:sz w:val="20"/>
              </w:rPr>
              <w:t>644,8</w:t>
            </w:r>
          </w:p>
        </w:tc>
      </w:tr>
      <w:tr>
        <w:tc>
          <w:tcPr>
            <w:tcW w:type="dxa" w:w="1344"/>
            <w:vAlign w:val="center"/>
          </w:tcPr>
          <w:p>
            <w:pPr>
              <w:jc w:val="center"/>
            </w:pPr>
            <w:r>
              <w:rPr>
                <w:sz w:val="20"/>
              </w:rPr>
              <w:t>2024</w:t>
            </w:r>
          </w:p>
        </w:tc>
        <w:tc>
          <w:tcPr>
            <w:tcW w:type="dxa" w:w="1344"/>
            <w:vAlign w:val="center"/>
          </w:tcPr>
          <w:p>
            <w:pPr>
              <w:jc w:val="center"/>
            </w:pPr>
            <w:r>
              <w:rPr>
                <w:sz w:val="20"/>
              </w:rPr>
              <w:t>2.628,6</w:t>
            </w:r>
          </w:p>
        </w:tc>
        <w:tc>
          <w:tcPr>
            <w:tcW w:type="dxa" w:w="1344"/>
            <w:vAlign w:val="center"/>
          </w:tcPr>
          <w:p>
            <w:pPr>
              <w:jc w:val="center"/>
            </w:pPr>
            <w:r>
              <w:rPr>
                <w:sz w:val="20"/>
              </w:rPr>
              <w:t>1.387,5</w:t>
            </w:r>
          </w:p>
        </w:tc>
        <w:tc>
          <w:tcPr>
            <w:tcW w:type="dxa" w:w="1344"/>
            <w:vAlign w:val="center"/>
          </w:tcPr>
          <w:p>
            <w:pPr>
              <w:jc w:val="center"/>
            </w:pPr>
            <w:r>
              <w:rPr>
                <w:sz w:val="20"/>
              </w:rPr>
              <w:t>1.241,1</w:t>
            </w:r>
          </w:p>
        </w:tc>
        <w:tc>
          <w:tcPr>
            <w:tcW w:type="dxa" w:w="1344"/>
            <w:vAlign w:val="center"/>
          </w:tcPr>
          <w:p>
            <w:pPr>
              <w:jc w:val="center"/>
            </w:pPr>
            <w:r>
              <w:rPr>
                <w:sz w:val="20"/>
              </w:rPr>
              <w:t>508,4</w:t>
            </w:r>
          </w:p>
        </w:tc>
        <w:tc>
          <w:tcPr>
            <w:tcW w:type="dxa" w:w="1344"/>
            <w:vAlign w:val="center"/>
          </w:tcPr>
          <w:p>
            <w:pPr>
              <w:jc w:val="center"/>
            </w:pPr>
            <w:r>
              <w:rPr>
                <w:sz w:val="20"/>
              </w:rPr>
              <w:t>592,7</w:t>
            </w:r>
          </w:p>
        </w:tc>
        <w:tc>
          <w:tcPr>
            <w:tcW w:type="dxa" w:w="1344"/>
            <w:vAlign w:val="center"/>
          </w:tcPr>
          <w:p>
            <w:pPr>
              <w:jc w:val="center"/>
            </w:pPr>
            <w:r>
              <w:rPr>
                <w:sz w:val="20"/>
              </w:rPr>
              <w:t>796,5</w:t>
            </w:r>
          </w:p>
        </w:tc>
      </w:tr>
    </w:tbl>
    <w:p/>
    <w:p>
      <w:pPr>
        <w:spacing w:before="200" w:after="80"/>
      </w:pPr>
      <w:r>
        <w:rPr>
          <w:rFonts w:ascii="Arial" w:hAnsi="Arial"/>
          <w:b/>
          <w:sz w:val="24"/>
        </w:rPr>
        <w:t>3.2 Margens (%)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Ano</w:t>
            </w:r>
          </w:p>
        </w:tc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Margem Bruta</w:t>
            </w:r>
          </w:p>
        </w:tc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Margem EBITDA</w:t>
            </w:r>
          </w:p>
        </w:tc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Margem Líquida</w:t>
            </w:r>
          </w:p>
        </w:tc>
      </w:tr>
      <w:tr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sz w:val="20"/>
              </w:rPr>
              <w:t>2019</w:t>
            </w:r>
          </w:p>
        </w:tc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sz w:val="20"/>
              </w:rPr>
              <w:t>44,4%</w:t>
            </w:r>
          </w:p>
        </w:tc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sz w:val="20"/>
              </w:rPr>
              <w:t>20,0%</w:t>
            </w:r>
          </w:p>
        </w:tc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sz w:val="20"/>
              </w:rPr>
              <w:t>23,4%</w:t>
            </w:r>
          </w:p>
        </w:tc>
      </w:tr>
      <w:tr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sz w:val="20"/>
              </w:rPr>
              <w:t>2020</w:t>
            </w:r>
          </w:p>
        </w:tc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sz w:val="20"/>
              </w:rPr>
              <w:t>38,9%</w:t>
            </w:r>
          </w:p>
        </w:tc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sz w:val="20"/>
              </w:rPr>
              <w:t>21,6%</w:t>
            </w:r>
          </w:p>
        </w:tc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sz w:val="20"/>
              </w:rPr>
              <w:t>22,5%</w:t>
            </w:r>
          </w:p>
        </w:tc>
      </w:tr>
      <w:tr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sz w:val="20"/>
              </w:rPr>
              <w:t>2021</w:t>
            </w:r>
          </w:p>
        </w:tc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sz w:val="20"/>
              </w:rPr>
              <w:t>44,6%</w:t>
            </w:r>
          </w:p>
        </w:tc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sz w:val="20"/>
              </w:rPr>
              <w:t>16,8%</w:t>
            </w:r>
          </w:p>
        </w:tc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sz w:val="20"/>
              </w:rPr>
              <w:t>19,3%</w:t>
            </w:r>
          </w:p>
        </w:tc>
      </w:tr>
      <w:tr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sz w:val="20"/>
              </w:rPr>
              <w:t>2022</w:t>
            </w:r>
          </w:p>
        </w:tc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sz w:val="20"/>
              </w:rPr>
              <w:t>40,3%</w:t>
            </w:r>
          </w:p>
        </w:tc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sz w:val="20"/>
              </w:rPr>
              <w:t>10,7%</w:t>
            </w:r>
          </w:p>
        </w:tc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sz w:val="20"/>
              </w:rPr>
              <w:t>19,8%</w:t>
            </w:r>
          </w:p>
        </w:tc>
      </w:tr>
      <w:tr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sz w:val="20"/>
              </w:rPr>
              <w:t>2023</w:t>
            </w:r>
          </w:p>
        </w:tc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sz w:val="20"/>
              </w:rPr>
              <w:t>42,0%</w:t>
            </w:r>
          </w:p>
        </w:tc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sz w:val="20"/>
              </w:rPr>
              <w:t>14,4%</w:t>
            </w:r>
          </w:p>
        </w:tc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sz w:val="20"/>
              </w:rPr>
              <w:t>25,0%</w:t>
            </w:r>
          </w:p>
        </w:tc>
      </w:tr>
      <w:tr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sz w:val="20"/>
              </w:rPr>
              <w:t>2024</w:t>
            </w:r>
          </w:p>
        </w:tc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sz w:val="20"/>
              </w:rPr>
              <w:t>47,2%</w:t>
            </w:r>
          </w:p>
        </w:tc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sz w:val="20"/>
              </w:rPr>
              <w:t>22,5%</w:t>
            </w:r>
          </w:p>
        </w:tc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sz w:val="20"/>
              </w:rPr>
              <w:t>30,3%</w:t>
            </w:r>
          </w:p>
        </w:tc>
      </w:tr>
    </w:tbl>
    <w:p/>
    <w:p>
      <w:pPr>
        <w:spacing w:before="200" w:after="80"/>
      </w:pPr>
      <w:r>
        <w:rPr>
          <w:rFonts w:ascii="Arial" w:hAnsi="Arial"/>
          <w:b/>
          <w:sz w:val="24"/>
        </w:rPr>
        <w:t>3.3 Diagnóstico dos Indicadores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ROE 2024: 20,44% - Retorno acima do custo de capital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Margem Líquida 2024: 30,3% - Recorde histórico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EBITDA 2024: R$ 592,7M - Recuperação forte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CPV em 52,7% da receita - Controle operacional excelente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Fluxo de caixa robusto: ~R$ 566M/ano disponível</w:t>
      </w:r>
    </w:p>
    <w:p>
      <w:r>
        <w:br w:type="page"/>
      </w:r>
    </w:p>
    <w:p>
      <w:pPr>
        <w:spacing w:before="280" w:after="160"/>
        <w:jc w:val="left"/>
      </w:pPr>
      <w:r>
        <w:rPr>
          <w:rFonts w:ascii="Arial" w:hAnsi="Arial"/>
          <w:b/>
          <w:sz w:val="28"/>
        </w:rPr>
        <w:t>4. DIAGNÓSTICO ESTRATÉGICO - CONTROLE DE QUALIDADE</w:t>
      </w:r>
    </w:p>
    <w:p>
      <w:pPr>
        <w:spacing w:before="200" w:after="80"/>
      </w:pPr>
      <w:r>
        <w:rPr>
          <w:rFonts w:ascii="Arial" w:hAnsi="Arial"/>
          <w:b/>
          <w:sz w:val="24"/>
        </w:rPr>
        <w:t>4.1 Problema Identificado</w:t>
      </w:r>
    </w:p>
    <w:p>
      <w:pPr>
        <w:spacing w:after="120"/>
      </w:pPr>
      <w:r>
        <w:rPr>
          <w:rFonts w:ascii="Arial" w:hAnsi="Arial"/>
          <w:sz w:val="22"/>
        </w:rPr>
        <w:t>A Grendene produz ~139M de pares/ano em alta escala. Com volume desta magnitude, até taxas baixas de defeitos geram custos significativos: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Tipo de Custo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% do CPV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Valor Estimado (R$M)</w:t>
            </w:r>
          </w:p>
        </w:tc>
      </w:tr>
      <w:tr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Defeitos e retrabalho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2-3%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27,75 - 41,63</w:t>
            </w:r>
          </w:p>
        </w:tc>
      </w:tr>
      <w:tr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Devoluções de clientes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1-2%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26,29 - 52,57</w:t>
            </w:r>
          </w:p>
        </w:tc>
      </w:tr>
      <w:tr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Paradas de produção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0,5%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6,94</w:t>
            </w:r>
          </w:p>
        </w:tc>
      </w:tr>
      <w:tr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TOTAL DE PERDAS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3,5-5,5%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61,98 - 101,14</w:t>
            </w:r>
          </w:p>
        </w:tc>
      </w:tr>
    </w:tbl>
    <w:p/>
    <w:p>
      <w:pPr>
        <w:spacing w:before="200" w:after="80"/>
      </w:pPr>
      <w:r>
        <w:rPr>
          <w:rFonts w:ascii="Arial" w:hAnsi="Arial"/>
          <w:b/>
          <w:sz w:val="24"/>
        </w:rPr>
        <w:t>4.2 Pontos Fortes da Grendene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Gestão de custos excepcional: CPV em 52,7% da receita (melhor histórico)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Margem líquida recorde de 30,3% — espaço para investir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EBITDA recorde de R$ 592,7M (+59,8% vs 2023)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Alavancagem baixa (dívida = 10,1% dos ativos)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Free Cash Flow de ~R$ 566M/ano — capital disponível para investimento</w:t>
      </w:r>
    </w:p>
    <w:p>
      <w:pPr>
        <w:spacing w:before="200" w:after="80"/>
      </w:pPr>
      <w:r>
        <w:rPr>
          <w:rFonts w:ascii="Arial" w:hAnsi="Arial"/>
          <w:b/>
          <w:sz w:val="24"/>
        </w:rPr>
        <w:t>4.3 Pontos Críticos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Volume crescente de produção — aumenta desafios de qualidade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Inspeção manual limitada — gargalo de produção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Padrões internacionais mais rigorosos — clientes premium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Custo crescente com devoluções — impacto em reputação</w:t>
      </w:r>
    </w:p>
    <w:p>
      <w:pPr>
        <w:spacing w:before="200" w:after="80"/>
      </w:pPr>
      <w:r>
        <w:rPr>
          <w:rFonts w:ascii="Arial" w:hAnsi="Arial"/>
          <w:b/>
          <w:sz w:val="24"/>
        </w:rPr>
        <w:t>4.4 Conclusão do Diagnóstico</w:t>
      </w:r>
    </w:p>
    <w:p>
      <w:pPr>
        <w:spacing w:after="120"/>
      </w:pPr>
      <w:r>
        <w:rPr>
          <w:rFonts w:ascii="Arial" w:hAnsi="Arial"/>
          <w:sz w:val="22"/>
        </w:rPr>
        <w:t>A Grendene é operacionalmente excelente (margens recordes, custos sob controle). Porém, em escala de 139M pares/ano, perdas de 3-5% do CPV (~R$62-101M) representam oportunidade estratégica de melhoria. Implementar controle de qualidade automatizado com visão computacional é a solução ideal para eliminar este gargalo enquanto mantém flexibilidade operacional.</w:t>
      </w:r>
    </w:p>
    <w:p>
      <w:r>
        <w:br w:type="page"/>
      </w:r>
    </w:p>
    <w:p>
      <w:pPr>
        <w:spacing w:before="280" w:after="160"/>
        <w:jc w:val="left"/>
      </w:pPr>
      <w:r>
        <w:rPr>
          <w:rFonts w:ascii="Arial" w:hAnsi="Arial"/>
          <w:b/>
          <w:sz w:val="28"/>
        </w:rPr>
        <w:t>5. PROPOSTA DE INVESTIMENTO — R$ 4 MILHÕES</w:t>
      </w:r>
    </w:p>
    <w:p>
      <w:pPr>
        <w:spacing w:before="200" w:after="80"/>
      </w:pPr>
      <w:r>
        <w:rPr>
          <w:rFonts w:ascii="Arial" w:hAnsi="Arial"/>
          <w:b/>
          <w:sz w:val="24"/>
        </w:rPr>
        <w:t>5.1 Solução Técnica</w:t>
      </w:r>
    </w:p>
    <w:p>
      <w:pPr>
        <w:spacing w:after="120"/>
      </w:pPr>
      <w:r>
        <w:rPr>
          <w:rFonts w:ascii="Arial" w:hAnsi="Arial"/>
          <w:sz w:val="22"/>
        </w:rPr>
        <w:t>Implantação de 6 máquinas automatizadas de inspeção com visão computacional e inteligência artificial para detectar defeitos em tempo real, reduzindo perdas com qualidade.</w:t>
      </w:r>
    </w:p>
    <w:p>
      <w:pPr>
        <w:spacing w:before="200" w:after="80"/>
      </w:pPr>
      <w:r>
        <w:rPr>
          <w:rFonts w:ascii="Arial" w:hAnsi="Arial"/>
          <w:b/>
          <w:sz w:val="24"/>
        </w:rPr>
        <w:t>5.2 Estrutura de Investimento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Item</w:t>
            </w:r>
          </w:p>
        </w:tc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Quantidade</w:t>
            </w:r>
          </w:p>
        </w:tc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Valor Unitário</w:t>
            </w:r>
          </w:p>
        </w:tc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Total</w:t>
            </w:r>
          </w:p>
        </w:tc>
      </w:tr>
      <w:tr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sz w:val="20"/>
              </w:rPr>
              <w:t>Máquinas de Inspeção Automatizada</w:t>
            </w:r>
          </w:p>
        </w:tc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sz w:val="20"/>
              </w:rPr>
              <w:t>6 unidades</w:t>
            </w:r>
          </w:p>
        </w:tc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sz w:val="20"/>
              </w:rPr>
              <w:t>R$ 600.000</w:t>
            </w:r>
          </w:p>
        </w:tc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sz w:val="20"/>
              </w:rPr>
              <w:t>R$ 3.600.000</w:t>
            </w:r>
          </w:p>
        </w:tc>
      </w:tr>
      <w:tr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sz w:val="20"/>
              </w:rPr>
              <w:t>Instalação e Estrutura Civil</w:t>
            </w:r>
          </w:p>
        </w:tc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sz w:val="20"/>
              </w:rPr>
              <w:t>—</w:t>
            </w:r>
          </w:p>
        </w:tc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sz w:val="20"/>
              </w:rPr>
              <w:t>—</w:t>
            </w:r>
          </w:p>
        </w:tc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sz w:val="20"/>
              </w:rPr>
              <w:t>R$ 200.000</w:t>
            </w:r>
          </w:p>
        </w:tc>
      </w:tr>
      <w:tr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sz w:val="20"/>
              </w:rPr>
              <w:t>Treinamento de Operadores</w:t>
            </w:r>
          </w:p>
        </w:tc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sz w:val="20"/>
              </w:rPr>
              <w:t>—</w:t>
            </w:r>
          </w:p>
        </w:tc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sz w:val="20"/>
              </w:rPr>
              <w:t>—</w:t>
            </w:r>
          </w:p>
        </w:tc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sz w:val="20"/>
              </w:rPr>
              <w:t>R$ 100.000</w:t>
            </w:r>
          </w:p>
        </w:tc>
      </w:tr>
      <w:tr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sz w:val="20"/>
              </w:rPr>
              <w:t>Integração com Sistema ERP</w:t>
            </w:r>
          </w:p>
        </w:tc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sz w:val="20"/>
              </w:rPr>
              <w:t>—</w:t>
            </w:r>
          </w:p>
        </w:tc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sz w:val="20"/>
              </w:rPr>
              <w:t>—</w:t>
            </w:r>
          </w:p>
        </w:tc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sz w:val="20"/>
              </w:rPr>
              <w:t>R$ 100.000</w:t>
            </w:r>
          </w:p>
        </w:tc>
      </w:tr>
      <w:tr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sz w:val="20"/>
              </w:rPr>
              <w:t>TOTAL DE INVESTIMENTO</w:t>
            </w:r>
          </w:p>
        </w:tc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sz w:val="20"/>
              </w:rPr>
              <w:t>—</w:t>
            </w:r>
          </w:p>
        </w:tc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sz w:val="20"/>
              </w:rPr>
              <w:t>—</w:t>
            </w:r>
          </w:p>
        </w:tc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sz w:val="20"/>
              </w:rPr>
              <w:t>R$ 4.000.000</w:t>
            </w:r>
          </w:p>
        </w:tc>
      </w:tr>
    </w:tbl>
    <w:p/>
    <w:p>
      <w:pPr>
        <w:spacing w:before="200" w:after="80"/>
      </w:pPr>
      <w:r>
        <w:rPr>
          <w:rFonts w:ascii="Arial" w:hAnsi="Arial"/>
          <w:b/>
          <w:sz w:val="24"/>
        </w:rPr>
        <w:t>5.3 Especificações Técnicas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Tecnologia: Visão computacional + IA para detecção de defeitos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Precisão: 99,7% de detecção (vs ~95% inspeção visual)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Velocidade: 60-80 pares/minuto por máquina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Cobertura anual: ~19 milhões de pares/ano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Integração: Compatível com ERP Grendene</w:t>
      </w:r>
    </w:p>
    <w:p>
      <w:pPr>
        <w:spacing w:before="200" w:after="80"/>
      </w:pPr>
      <w:r>
        <w:rPr>
          <w:rFonts w:ascii="Arial" w:hAnsi="Arial"/>
          <w:b/>
          <w:sz w:val="24"/>
        </w:rPr>
        <w:t>5.4 Benefícios Esperados - Resumo</w:t>
      </w:r>
    </w:p>
    <w:p>
      <w:pPr>
        <w:spacing w:after="120"/>
      </w:pPr>
      <w:r>
        <w:rPr>
          <w:rFonts w:ascii="Arial" w:hAnsi="Arial"/>
          <w:sz w:val="22"/>
        </w:rPr>
        <w:t>Redução de Defeitos (2-4% do CPV): R$ 2,0M - R$ 2,8M/ano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Detecção 99,7% precisa evita defeitos em clientes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Economia com recalls e devoluções</w:t>
      </w:r>
    </w:p>
    <w:p>
      <w:pPr>
        <w:spacing w:after="120"/>
      </w:pPr>
      <w:r>
        <w:rPr>
          <w:rFonts w:ascii="Arial" w:hAnsi="Arial"/>
          <w:sz w:val="22"/>
        </w:rPr>
        <w:t>Redução de Retrabalho: R$ 1,0M - R$ 1,5M/ano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Detecção em tempo real permite correção imediata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Evita lotes grandes de produtos defeituosos</w:t>
      </w:r>
    </w:p>
    <w:p>
      <w:pPr>
        <w:spacing w:after="120"/>
      </w:pPr>
      <w:r>
        <w:rPr>
          <w:rFonts w:ascii="Arial" w:hAnsi="Arial"/>
          <w:sz w:val="22"/>
        </w:rPr>
        <w:t>Redução de Devoluções: R$ 0,5M - R$ 1,0M/ano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Melhor qualidade final reduz reclamações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Melhora percepção de marca</w:t>
      </w:r>
    </w:p>
    <w:p>
      <w:pPr>
        <w:spacing w:after="120"/>
      </w:pPr>
      <w:r>
        <w:rPr>
          <w:rFonts w:ascii="Arial" w:hAnsi="Arial"/>
          <w:sz w:val="22"/>
        </w:rPr>
        <w:t>Redução Operacional: R$ 1,9M - R$ 2,0M/ano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Automação reduz mão de obra em inspeção (R$ 400K)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Eliminação de paradas de produção (R$ 1,5M)</w:t>
      </w:r>
    </w:p>
    <w:p>
      <w:r>
        <w:br w:type="page"/>
      </w:r>
    </w:p>
    <w:p>
      <w:pPr>
        <w:spacing w:before="200" w:after="80"/>
      </w:pPr>
      <w:r>
        <w:rPr>
          <w:rFonts w:ascii="Arial" w:hAnsi="Arial"/>
          <w:b/>
          <w:sz w:val="24"/>
        </w:rPr>
        <w:t>5.5 Detalhamento Completo dos Cálculos de Benefícios</w:t>
      </w:r>
    </w:p>
    <w:p>
      <w:pPr>
        <w:spacing w:after="120"/>
      </w:pPr>
      <w:r>
        <w:rPr>
          <w:rFonts w:ascii="Arial" w:hAnsi="Arial"/>
          <w:sz w:val="22"/>
        </w:rPr>
        <w:t>Análise dos custos de qualidade atual da Grendene e como o investimento reduz perdas:</w:t>
      </w:r>
    </w:p>
    <w:p>
      <w:pPr>
        <w:spacing w:before="200" w:after="80"/>
      </w:pPr>
      <w:r>
        <w:rPr>
          <w:rFonts w:ascii="Arial" w:hAnsi="Arial"/>
          <w:b/>
          <w:sz w:val="24"/>
        </w:rPr>
        <w:t>5.5.1 Base de Cálculo - Custos Atuais da Grendene (2024)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Variável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Valor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Cálculo</w:t>
            </w:r>
          </w:p>
        </w:tc>
      </w:tr>
      <w:tr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Receita Líquida 2024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R$ 2.628,6M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—</w:t>
            </w:r>
          </w:p>
        </w:tc>
      </w:tr>
      <w:tr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CPV 2024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R$ 1.387,5M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52,7% da receita</w:t>
            </w:r>
          </w:p>
        </w:tc>
      </w:tr>
      <w:tr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Custos de Qualidade (padrão indústria)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3-5% do CPV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—</w:t>
            </w:r>
          </w:p>
        </w:tc>
      </w:tr>
      <w:tr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Custo MÍNIMO estimado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R$ 41,6M/ano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R$ 1.387,5M × 3%</w:t>
            </w:r>
          </w:p>
        </w:tc>
      </w:tr>
      <w:tr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Custo MÁXIMO estimado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R$ 69,4M/ano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R$ 1.387,5M × 5%</w:t>
            </w:r>
          </w:p>
        </w:tc>
      </w:tr>
    </w:tbl>
    <w:p/>
    <w:p>
      <w:pPr>
        <w:spacing w:before="200" w:after="80"/>
      </w:pPr>
      <w:r>
        <w:rPr>
          <w:rFonts w:ascii="Arial" w:hAnsi="Arial"/>
          <w:b/>
          <w:sz w:val="24"/>
        </w:rPr>
        <w:t>5.5.2 Decomposição dos Custos de Qualidade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Tipo de Custo</w:t>
            </w:r>
          </w:p>
        </w:tc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% do CPV</w:t>
            </w:r>
          </w:p>
        </w:tc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Cálculo Base</w:t>
            </w:r>
          </w:p>
        </w:tc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Valor Estimado</w:t>
            </w:r>
          </w:p>
        </w:tc>
      </w:tr>
      <w:tr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sz w:val="20"/>
              </w:rPr>
              <w:t>Defeitos e Retrabalho</w:t>
            </w:r>
          </w:p>
        </w:tc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sz w:val="20"/>
              </w:rPr>
              <w:t>2-3%</w:t>
            </w:r>
          </w:p>
        </w:tc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sz w:val="20"/>
              </w:rPr>
              <w:t>R$ 1.387,5M × 2,5%</w:t>
            </w:r>
          </w:p>
        </w:tc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sz w:val="20"/>
              </w:rPr>
              <w:t>R$ 34,7M</w:t>
            </w:r>
          </w:p>
        </w:tc>
      </w:tr>
      <w:tr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sz w:val="20"/>
              </w:rPr>
              <w:t>Devoluções de Clientes</w:t>
            </w:r>
          </w:p>
        </w:tc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sz w:val="20"/>
              </w:rPr>
              <w:t>1-2%</w:t>
            </w:r>
          </w:p>
        </w:tc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sz w:val="20"/>
              </w:rPr>
              <w:t>R$ 1.387,5M × 1,5%</w:t>
            </w:r>
          </w:p>
        </w:tc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sz w:val="20"/>
              </w:rPr>
              <w:t>R$ 20,8M</w:t>
            </w:r>
          </w:p>
        </w:tc>
      </w:tr>
      <w:tr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sz w:val="20"/>
              </w:rPr>
              <w:t>Paradas de Produção</w:t>
            </w:r>
          </w:p>
        </w:tc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sz w:val="20"/>
              </w:rPr>
              <w:t>0,5%</w:t>
            </w:r>
          </w:p>
        </w:tc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sz w:val="20"/>
              </w:rPr>
              <w:t>R$ 1.387,5M × 0,5%</w:t>
            </w:r>
          </w:p>
        </w:tc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sz w:val="20"/>
              </w:rPr>
              <w:t>R$ 6,9M</w:t>
            </w:r>
          </w:p>
        </w:tc>
      </w:tr>
      <w:tr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sz w:val="20"/>
              </w:rPr>
              <w:t>TOTAL ESTIMADO</w:t>
            </w:r>
          </w:p>
        </w:tc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sz w:val="20"/>
              </w:rPr>
              <w:t>3,5-5,5%</w:t>
            </w:r>
          </w:p>
        </w:tc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sz w:val="20"/>
              </w:rPr>
              <w:t>—</w:t>
            </w:r>
          </w:p>
        </w:tc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sz w:val="20"/>
              </w:rPr>
              <w:t>R$ 62,0M - R$ 101,1M</w:t>
            </w:r>
          </w:p>
        </w:tc>
      </w:tr>
    </w:tbl>
    <w:p/>
    <w:p>
      <w:pPr>
        <w:spacing w:after="120"/>
      </w:pPr>
      <w:r>
        <w:rPr>
          <w:rFonts w:ascii="Arial" w:hAnsi="Arial"/>
          <w:sz w:val="22"/>
        </w:rPr>
        <w:t>Nota: Estes custos representam perdas atuais da Grendene com qualidade inadequada. O investimento em máquinas automatizadas vai reduzir estes custos através de detecção mais precisa e tratamento em tempo real.</w:t>
      </w:r>
    </w:p>
    <w:p>
      <w:pPr>
        <w:spacing w:before="200" w:after="80"/>
      </w:pPr>
      <w:r>
        <w:rPr>
          <w:rFonts w:ascii="Arial" w:hAnsi="Arial"/>
          <w:b/>
          <w:sz w:val="24"/>
        </w:rPr>
        <w:t>5.5.3 Benefícios Monetários Detalhados</w:t>
      </w:r>
    </w:p>
    <w:p>
      <w:pPr>
        <w:spacing w:after="120"/>
      </w:pPr>
      <w:r>
        <w:rPr>
          <w:rFonts w:ascii="Arial" w:hAnsi="Arial"/>
          <w:sz w:val="22"/>
        </w:rPr>
        <w:t>1. REDUÇÃO DE DEFEITOS (2-4% do CPV)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Métrica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Cálculo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Resultado</w:t>
            </w:r>
          </w:p>
        </w:tc>
      </w:tr>
      <w:tr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Taxa de defeitos (indústria)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2-4% do CPV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—</w:t>
            </w:r>
          </w:p>
        </w:tc>
      </w:tr>
      <w:tr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CPV base 2024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R$ 1.387,5M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—</w:t>
            </w:r>
          </w:p>
        </w:tc>
      </w:tr>
      <w:tr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Valor de defeitos (cenário conservador)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R$ 1.387,5M × 2,5%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R$ 34,7M/ano</w:t>
            </w:r>
          </w:p>
        </w:tc>
      </w:tr>
      <w:tr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Redução esperada com máquinas (2-4%)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Detecção 99,7% vs 95%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R$ 2,0M - R$ 2,8M</w:t>
            </w:r>
          </w:p>
        </w:tc>
      </w:tr>
      <w:tr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Justificativa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Máquinas identificam defeitos antes de sair da fábrica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—</w:t>
            </w:r>
          </w:p>
        </w:tc>
      </w:tr>
    </w:tbl>
    <w:p/>
    <w:p>
      <w:pPr>
        <w:spacing w:after="120"/>
      </w:pPr>
      <w:r>
        <w:rPr>
          <w:rFonts w:ascii="Arial" w:hAnsi="Arial"/>
          <w:sz w:val="22"/>
        </w:rPr>
        <w:t>2. REDUÇÃO DE RETRABALHO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Métrica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Cálculo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Resultado</w:t>
            </w:r>
          </w:p>
        </w:tc>
      </w:tr>
      <w:tr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Custos de retrabalho (atual)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~2% da produção (indústria)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R$ 27,75M/ano</w:t>
            </w:r>
          </w:p>
        </w:tc>
      </w:tr>
      <w:tr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Redução com detecção em tempo real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Máquinas identificam erro imediatamente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R$ 1,0M - R$ 1,5M</w:t>
            </w:r>
          </w:p>
        </w:tc>
      </w:tr>
      <w:tr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Justificativa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Correção imediata evita lotes grandes de retrabalho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—</w:t>
            </w:r>
          </w:p>
        </w:tc>
      </w:tr>
    </w:tbl>
    <w:p/>
    <w:p>
      <w:pPr>
        <w:spacing w:after="120"/>
      </w:pPr>
      <w:r>
        <w:rPr>
          <w:rFonts w:ascii="Arial" w:hAnsi="Arial"/>
          <w:sz w:val="22"/>
        </w:rPr>
        <w:t>3. REDUÇÃO DE DEVOLUÇÕES (1-2% do CPV)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Métrica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Cálculo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Resultado</w:t>
            </w:r>
          </w:p>
        </w:tc>
      </w:tr>
      <w:tr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Taxa de devoluções (indústria)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1-2% do CPV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R$ 13,9M - R$ 27,8M/ano</w:t>
            </w:r>
          </w:p>
        </w:tc>
      </w:tr>
      <w:tr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Redução com qualidade melhorada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99,7% de precisão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R$ 0,5M - R$ 1,0M</w:t>
            </w:r>
          </w:p>
        </w:tc>
      </w:tr>
      <w:tr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Justificativa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Menos defeitos chegando aos clientes = menos devoluções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—</w:t>
            </w:r>
          </w:p>
        </w:tc>
      </w:tr>
    </w:tbl>
    <w:p/>
    <w:p>
      <w:pPr>
        <w:spacing w:after="120"/>
      </w:pPr>
      <w:r>
        <w:rPr>
          <w:rFonts w:ascii="Arial" w:hAnsi="Arial"/>
          <w:sz w:val="22"/>
        </w:rPr>
        <w:t>4. REDUÇÃO OPERACIONAL (Paradas + Mão de Obra)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Componente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Cálculo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Resultado</w:t>
            </w:r>
          </w:p>
        </w:tc>
      </w:tr>
      <w:tr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Paradas de produção (não planejadas)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~1,5M/ano em perdas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R$ 1,5M</w:t>
            </w:r>
          </w:p>
        </w:tc>
      </w:tr>
      <w:tr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Mão de obra em inspeção manual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~3 operadores × R$ 130K/ano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R$ 400K</w:t>
            </w:r>
          </w:p>
        </w:tc>
      </w:tr>
      <w:tr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SUBTOTAL Redução Operacional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R$ 1,5M + R$ 400K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R$ 1,9M - R$ 2,0M</w:t>
            </w:r>
          </w:p>
        </w:tc>
      </w:tr>
      <w:tr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Justificativa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Automação elimina paradas e libera mão de obra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—</w:t>
            </w:r>
          </w:p>
        </w:tc>
      </w:tr>
    </w:tbl>
    <w:p/>
    <w:p>
      <w:pPr>
        <w:spacing w:before="200" w:after="80"/>
      </w:pPr>
      <w:r>
        <w:rPr>
          <w:rFonts w:ascii="Arial" w:hAnsi="Arial"/>
          <w:b/>
          <w:sz w:val="24"/>
        </w:rPr>
        <w:t>5.5.4 TOTAL DE BENEFÍCIOS ANUAIS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Item</w:t>
            </w:r>
          </w:p>
        </w:tc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Mínimo</w:t>
            </w:r>
          </w:p>
        </w:tc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Máximo</w:t>
            </w:r>
          </w:p>
        </w:tc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Conservador</w:t>
            </w:r>
          </w:p>
        </w:tc>
      </w:tr>
      <w:tr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sz w:val="20"/>
              </w:rPr>
              <w:t>Redução de Defeitos</w:t>
            </w:r>
          </w:p>
        </w:tc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sz w:val="20"/>
              </w:rPr>
              <w:t>R$ 2,0M</w:t>
            </w:r>
          </w:p>
        </w:tc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sz w:val="20"/>
              </w:rPr>
              <w:t>R$ 2,8M</w:t>
            </w:r>
          </w:p>
        </w:tc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sz w:val="20"/>
              </w:rPr>
              <w:t>R$ 2,4M</w:t>
            </w:r>
          </w:p>
        </w:tc>
      </w:tr>
      <w:tr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sz w:val="20"/>
              </w:rPr>
              <w:t>Redução de Retrabalho</w:t>
            </w:r>
          </w:p>
        </w:tc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sz w:val="20"/>
              </w:rPr>
              <w:t>R$ 1,0M</w:t>
            </w:r>
          </w:p>
        </w:tc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sz w:val="20"/>
              </w:rPr>
              <w:t>R$ 1,5M</w:t>
            </w:r>
          </w:p>
        </w:tc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sz w:val="20"/>
              </w:rPr>
              <w:t>R$ 1,25M</w:t>
            </w:r>
          </w:p>
        </w:tc>
      </w:tr>
      <w:tr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sz w:val="20"/>
              </w:rPr>
              <w:t>Redução de Devoluções</w:t>
            </w:r>
          </w:p>
        </w:tc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sz w:val="20"/>
              </w:rPr>
              <w:t>R$ 0,5M</w:t>
            </w:r>
          </w:p>
        </w:tc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sz w:val="20"/>
              </w:rPr>
              <w:t>R$ 1,0M</w:t>
            </w:r>
          </w:p>
        </w:tc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sz w:val="20"/>
              </w:rPr>
              <w:t>R$ 0,75M</w:t>
            </w:r>
          </w:p>
        </w:tc>
      </w:tr>
      <w:tr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sz w:val="20"/>
              </w:rPr>
              <w:t>Redução Operacional</w:t>
            </w:r>
          </w:p>
        </w:tc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sz w:val="20"/>
              </w:rPr>
              <w:t>R$ 1,9M</w:t>
            </w:r>
          </w:p>
        </w:tc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sz w:val="20"/>
              </w:rPr>
              <w:t>R$ 2,0M</w:t>
            </w:r>
          </w:p>
        </w:tc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sz w:val="20"/>
              </w:rPr>
              <w:t>R$ 1,95M</w:t>
            </w:r>
          </w:p>
        </w:tc>
      </w:tr>
      <w:tr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sz w:val="20"/>
              </w:rPr>
              <w:t>TOTAL ANUAL (estável)</w:t>
            </w:r>
          </w:p>
        </w:tc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sz w:val="20"/>
              </w:rPr>
              <w:t>R$ 5,4M</w:t>
            </w:r>
          </w:p>
        </w:tc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sz w:val="20"/>
              </w:rPr>
              <w:t>R$ 7,3M</w:t>
            </w:r>
          </w:p>
        </w:tc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sz w:val="20"/>
              </w:rPr>
              <w:t>R$ 6,35M</w:t>
            </w:r>
          </w:p>
        </w:tc>
      </w:tr>
    </w:tbl>
    <w:p/>
    <w:p>
      <w:pPr>
        <w:spacing w:after="120"/>
      </w:pPr>
      <w:r>
        <w:rPr>
          <w:rFonts w:ascii="Arial" w:hAnsi="Arial"/>
          <w:sz w:val="22"/>
        </w:rPr>
        <w:t>Interpretação: No regime estável (Ano 2+), o investimento gera entre R$ 5,4M e R$ 7,3M em benefícios ANUAIS. Para análise conservadora, usamos R$ 6,0M-R$ 7,4M conforme ramp-up do primeiro ano.</w:t>
      </w:r>
    </w:p>
    <w:p>
      <w:pPr>
        <w:spacing w:before="200" w:after="80"/>
      </w:pPr>
      <w:r>
        <w:rPr>
          <w:rFonts w:ascii="Arial" w:hAnsi="Arial"/>
          <w:b/>
          <w:sz w:val="24"/>
        </w:rPr>
        <w:t>5.5 Cronograma de Implementação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Fase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Período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Descrição</w:t>
            </w:r>
          </w:p>
        </w:tc>
      </w:tr>
      <w:tr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Fase 1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Janeiro-Março 2026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Entrega, instalação e testes</w:t>
            </w:r>
          </w:p>
        </w:tc>
      </w:tr>
      <w:tr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Fase 2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Março-Maio 2026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Treinamento de operadores</w:t>
            </w:r>
          </w:p>
        </w:tc>
      </w:tr>
      <w:tr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Fase 3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Maio-Junho 2026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Integração ERP e ajustes</w:t>
            </w:r>
          </w:p>
        </w:tc>
      </w:tr>
      <w:tr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Fase 4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Junho 2026+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Operação normal com otimizações</w:t>
            </w:r>
          </w:p>
        </w:tc>
      </w:tr>
    </w:tbl>
    <w:p/>
    <w:p>
      <w:r>
        <w:br w:type="page"/>
      </w:r>
    </w:p>
    <w:p>
      <w:pPr>
        <w:spacing w:before="280" w:after="160"/>
        <w:jc w:val="left"/>
      </w:pPr>
      <w:r>
        <w:rPr>
          <w:rFonts w:ascii="Arial" w:hAnsi="Arial"/>
          <w:b/>
          <w:sz w:val="28"/>
        </w:rPr>
        <w:t>6. ANÁLISE DE VIABILIDADE FINANCEIRA</w:t>
      </w:r>
    </w:p>
    <w:p>
      <w:pPr>
        <w:spacing w:after="120"/>
      </w:pPr>
      <w:r>
        <w:rPr>
          <w:rFonts w:ascii="Arial" w:hAnsi="Arial"/>
          <w:sz w:val="22"/>
        </w:rPr>
        <w:t>Análise considerando benefício conservador-realista com ramp-up no primeiro ano de operação (50% capacidade) atingindo 100% de benefício a partir do segundo ano.</w:t>
      </w:r>
    </w:p>
    <w:p>
      <w:pPr>
        <w:spacing w:before="200" w:after="80"/>
      </w:pPr>
      <w:r>
        <w:rPr>
          <w:rFonts w:ascii="Arial" w:hAnsi="Arial"/>
          <w:b/>
          <w:sz w:val="24"/>
        </w:rPr>
        <w:t>6.1 Fluxo de Caixa Incremental (5 anos)</w:t>
      </w:r>
    </w:p>
    <w:p>
      <w:pPr>
        <w:spacing w:after="120"/>
      </w:pPr>
      <w:r>
        <w:rPr>
          <w:rFonts w:ascii="Arial" w:hAnsi="Arial"/>
          <w:sz w:val="22"/>
        </w:rPr>
        <w:t>Projeção de fluxos anuais considerando ramp-up no primeiro ano (50% capacidade) e alcançando 100% de benefício a partir do segundo ano: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67"/>
        <w:gridCol w:w="1567"/>
        <w:gridCol w:w="1567"/>
        <w:gridCol w:w="1567"/>
        <w:gridCol w:w="1567"/>
        <w:gridCol w:w="1567"/>
      </w:tblGrid>
      <w:tr>
        <w:tc>
          <w:tcPr>
            <w:tcW w:type="dxa" w:w="1567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Ano</w:t>
            </w:r>
          </w:p>
        </w:tc>
        <w:tc>
          <w:tcPr>
            <w:tcW w:type="dxa" w:w="1567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Período</w:t>
            </w:r>
          </w:p>
        </w:tc>
        <w:tc>
          <w:tcPr>
            <w:tcW w:type="dxa" w:w="1567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Fluxo de Caixa</w:t>
            </w:r>
          </w:p>
        </w:tc>
        <w:tc>
          <w:tcPr>
            <w:tcW w:type="dxa" w:w="1567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Acumulado Simples</w:t>
            </w:r>
          </w:p>
        </w:tc>
        <w:tc>
          <w:tcPr>
            <w:tcW w:type="dxa" w:w="1567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Fluxos Descontados</w:t>
            </w:r>
          </w:p>
        </w:tc>
        <w:tc>
          <w:tcPr>
            <w:tcW w:type="dxa" w:w="1567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Acumulado VP</w:t>
            </w:r>
          </w:p>
        </w:tc>
      </w:tr>
      <w:tr>
        <w:tc>
          <w:tcPr>
            <w:tcW w:type="dxa" w:w="1567"/>
            <w:vAlign w:val="center"/>
          </w:tcPr>
          <w:p>
            <w:pPr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type="dxa" w:w="1567"/>
            <w:vAlign w:val="center"/>
          </w:tcPr>
          <w:p>
            <w:pPr>
              <w:jc w:val="center"/>
            </w:pPr>
            <w:r>
              <w:rPr>
                <w:sz w:val="20"/>
              </w:rPr>
              <w:t>2025/26</w:t>
            </w:r>
          </w:p>
        </w:tc>
        <w:tc>
          <w:tcPr>
            <w:tcW w:type="dxa" w:w="1567"/>
            <w:vAlign w:val="center"/>
          </w:tcPr>
          <w:p>
            <w:pPr>
              <w:jc w:val="center"/>
            </w:pPr>
            <w:r>
              <w:rPr>
                <w:sz w:val="20"/>
              </w:rPr>
              <w:t>- R$ 4.000,0M</w:t>
            </w:r>
          </w:p>
        </w:tc>
        <w:tc>
          <w:tcPr>
            <w:tcW w:type="dxa" w:w="1567"/>
            <w:vAlign w:val="center"/>
          </w:tcPr>
          <w:p>
            <w:pPr>
              <w:jc w:val="center"/>
            </w:pPr>
            <w:r>
              <w:rPr>
                <w:sz w:val="20"/>
              </w:rPr>
              <w:t>- R$ 4.000,0M</w:t>
            </w:r>
          </w:p>
        </w:tc>
        <w:tc>
          <w:tcPr>
            <w:tcW w:type="dxa" w:w="1567"/>
            <w:vAlign w:val="center"/>
          </w:tcPr>
          <w:p>
            <w:pPr>
              <w:jc w:val="center"/>
            </w:pPr>
            <w:r>
              <w:rPr>
                <w:sz w:val="20"/>
              </w:rPr>
              <w:t>- R$ 4.000,0M</w:t>
            </w:r>
          </w:p>
        </w:tc>
        <w:tc>
          <w:tcPr>
            <w:tcW w:type="dxa" w:w="1567"/>
            <w:vAlign w:val="center"/>
          </w:tcPr>
          <w:p>
            <w:pPr>
              <w:jc w:val="center"/>
            </w:pPr>
            <w:r>
              <w:rPr>
                <w:sz w:val="20"/>
              </w:rPr>
              <w:t>- R$ 4.000,0M</w:t>
            </w:r>
          </w:p>
        </w:tc>
      </w:tr>
      <w:tr>
        <w:tc>
          <w:tcPr>
            <w:tcW w:type="dxa" w:w="1567"/>
            <w:vAlign w:val="center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567"/>
            <w:vAlign w:val="center"/>
          </w:tcPr>
          <w:p>
            <w:pPr>
              <w:jc w:val="center"/>
            </w:pPr>
            <w:r>
              <w:rPr>
                <w:sz w:val="20"/>
              </w:rPr>
              <w:t>2026</w:t>
            </w:r>
          </w:p>
        </w:tc>
        <w:tc>
          <w:tcPr>
            <w:tcW w:type="dxa" w:w="1567"/>
            <w:vAlign w:val="center"/>
          </w:tcPr>
          <w:p>
            <w:pPr>
              <w:jc w:val="center"/>
            </w:pPr>
            <w:r>
              <w:rPr>
                <w:sz w:val="20"/>
              </w:rPr>
              <w:t>+ R$ 3.500,0M</w:t>
            </w:r>
          </w:p>
        </w:tc>
        <w:tc>
          <w:tcPr>
            <w:tcW w:type="dxa" w:w="1567"/>
            <w:vAlign w:val="center"/>
          </w:tcPr>
          <w:p>
            <w:pPr>
              <w:jc w:val="center"/>
            </w:pPr>
            <w:r>
              <w:rPr>
                <w:sz w:val="20"/>
              </w:rPr>
              <w:t>- R$ 500,0M</w:t>
            </w:r>
          </w:p>
        </w:tc>
        <w:tc>
          <w:tcPr>
            <w:tcW w:type="dxa" w:w="1567"/>
            <w:vAlign w:val="center"/>
          </w:tcPr>
          <w:p>
            <w:pPr>
              <w:jc w:val="center"/>
            </w:pPr>
            <w:r>
              <w:rPr>
                <w:sz w:val="20"/>
              </w:rPr>
              <w:t>+ R$ 3.181,8M</w:t>
            </w:r>
          </w:p>
        </w:tc>
        <w:tc>
          <w:tcPr>
            <w:tcW w:type="dxa" w:w="1567"/>
            <w:vAlign w:val="center"/>
          </w:tcPr>
          <w:p>
            <w:pPr>
              <w:jc w:val="center"/>
            </w:pPr>
            <w:r>
              <w:rPr>
                <w:sz w:val="20"/>
              </w:rPr>
              <w:t>- R$ 818,2M</w:t>
            </w:r>
          </w:p>
        </w:tc>
      </w:tr>
      <w:tr>
        <w:tc>
          <w:tcPr>
            <w:tcW w:type="dxa" w:w="1567"/>
            <w:vAlign w:val="center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567"/>
            <w:vAlign w:val="center"/>
          </w:tcPr>
          <w:p>
            <w:pPr>
              <w:jc w:val="center"/>
            </w:pPr>
            <w:r>
              <w:rPr>
                <w:sz w:val="20"/>
              </w:rPr>
              <w:t>2027</w:t>
            </w:r>
          </w:p>
        </w:tc>
        <w:tc>
          <w:tcPr>
            <w:tcW w:type="dxa" w:w="1567"/>
            <w:vAlign w:val="center"/>
          </w:tcPr>
          <w:p>
            <w:pPr>
              <w:jc w:val="center"/>
            </w:pPr>
            <w:r>
              <w:rPr>
                <w:sz w:val="20"/>
              </w:rPr>
              <w:t>+ R$ 5.000,0M</w:t>
            </w:r>
          </w:p>
        </w:tc>
        <w:tc>
          <w:tcPr>
            <w:tcW w:type="dxa" w:w="1567"/>
            <w:vAlign w:val="center"/>
          </w:tcPr>
          <w:p>
            <w:pPr>
              <w:jc w:val="center"/>
            </w:pPr>
            <w:r>
              <w:rPr>
                <w:sz w:val="20"/>
              </w:rPr>
              <w:t>+ R$ 4.500,0M</w:t>
            </w:r>
          </w:p>
        </w:tc>
        <w:tc>
          <w:tcPr>
            <w:tcW w:type="dxa" w:w="1567"/>
            <w:vAlign w:val="center"/>
          </w:tcPr>
          <w:p>
            <w:pPr>
              <w:jc w:val="center"/>
            </w:pPr>
            <w:r>
              <w:rPr>
                <w:sz w:val="20"/>
              </w:rPr>
              <w:t>+ R$ 4.132,2M</w:t>
            </w:r>
          </w:p>
        </w:tc>
        <w:tc>
          <w:tcPr>
            <w:tcW w:type="dxa" w:w="1567"/>
            <w:vAlign w:val="center"/>
          </w:tcPr>
          <w:p>
            <w:pPr>
              <w:jc w:val="center"/>
            </w:pPr>
            <w:r>
              <w:rPr>
                <w:sz w:val="20"/>
              </w:rPr>
              <w:t>+ R$ 3.314,0M</w:t>
            </w:r>
          </w:p>
        </w:tc>
      </w:tr>
      <w:tr>
        <w:tc>
          <w:tcPr>
            <w:tcW w:type="dxa" w:w="1567"/>
            <w:vAlign w:val="center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567"/>
            <w:vAlign w:val="center"/>
          </w:tcPr>
          <w:p>
            <w:pPr>
              <w:jc w:val="center"/>
            </w:pPr>
            <w:r>
              <w:rPr>
                <w:sz w:val="20"/>
              </w:rPr>
              <w:t>2028</w:t>
            </w:r>
          </w:p>
        </w:tc>
        <w:tc>
          <w:tcPr>
            <w:tcW w:type="dxa" w:w="1567"/>
            <w:vAlign w:val="center"/>
          </w:tcPr>
          <w:p>
            <w:pPr>
              <w:jc w:val="center"/>
            </w:pPr>
            <w:r>
              <w:rPr>
                <w:sz w:val="20"/>
              </w:rPr>
              <w:t>+ R$ 6.000,0M</w:t>
            </w:r>
          </w:p>
        </w:tc>
        <w:tc>
          <w:tcPr>
            <w:tcW w:type="dxa" w:w="1567"/>
            <w:vAlign w:val="center"/>
          </w:tcPr>
          <w:p>
            <w:pPr>
              <w:jc w:val="center"/>
            </w:pPr>
            <w:r>
              <w:rPr>
                <w:sz w:val="20"/>
              </w:rPr>
              <w:t>+ R$ 10.500,0M</w:t>
            </w:r>
          </w:p>
        </w:tc>
        <w:tc>
          <w:tcPr>
            <w:tcW w:type="dxa" w:w="1567"/>
            <w:vAlign w:val="center"/>
          </w:tcPr>
          <w:p>
            <w:pPr>
              <w:jc w:val="center"/>
            </w:pPr>
            <w:r>
              <w:rPr>
                <w:sz w:val="20"/>
              </w:rPr>
              <w:t>+ R$ 4.508,3M</w:t>
            </w:r>
          </w:p>
        </w:tc>
        <w:tc>
          <w:tcPr>
            <w:tcW w:type="dxa" w:w="1567"/>
            <w:vAlign w:val="center"/>
          </w:tcPr>
          <w:p>
            <w:pPr>
              <w:jc w:val="center"/>
            </w:pPr>
            <w:r>
              <w:rPr>
                <w:sz w:val="20"/>
              </w:rPr>
              <w:t>+ R$ 7.822,3M</w:t>
            </w:r>
          </w:p>
        </w:tc>
      </w:tr>
      <w:tr>
        <w:tc>
          <w:tcPr>
            <w:tcW w:type="dxa" w:w="1567"/>
            <w:vAlign w:val="center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1567"/>
            <w:vAlign w:val="center"/>
          </w:tcPr>
          <w:p>
            <w:pPr>
              <w:jc w:val="center"/>
            </w:pPr>
            <w:r>
              <w:rPr>
                <w:sz w:val="20"/>
              </w:rPr>
              <w:t>2029</w:t>
            </w:r>
          </w:p>
        </w:tc>
        <w:tc>
          <w:tcPr>
            <w:tcW w:type="dxa" w:w="1567"/>
            <w:vAlign w:val="center"/>
          </w:tcPr>
          <w:p>
            <w:pPr>
              <w:jc w:val="center"/>
            </w:pPr>
            <w:r>
              <w:rPr>
                <w:sz w:val="20"/>
              </w:rPr>
              <w:t>+ R$ 6.500,0M</w:t>
            </w:r>
          </w:p>
        </w:tc>
        <w:tc>
          <w:tcPr>
            <w:tcW w:type="dxa" w:w="1567"/>
            <w:vAlign w:val="center"/>
          </w:tcPr>
          <w:p>
            <w:pPr>
              <w:jc w:val="center"/>
            </w:pPr>
            <w:r>
              <w:rPr>
                <w:sz w:val="20"/>
              </w:rPr>
              <w:t>+ R$ 17.000,0M</w:t>
            </w:r>
          </w:p>
        </w:tc>
        <w:tc>
          <w:tcPr>
            <w:tcW w:type="dxa" w:w="1567"/>
            <w:vAlign w:val="center"/>
          </w:tcPr>
          <w:p>
            <w:pPr>
              <w:jc w:val="center"/>
            </w:pPr>
            <w:r>
              <w:rPr>
                <w:sz w:val="20"/>
              </w:rPr>
              <w:t>+ R$ 4.439,8M</w:t>
            </w:r>
          </w:p>
        </w:tc>
        <w:tc>
          <w:tcPr>
            <w:tcW w:type="dxa" w:w="1567"/>
            <w:vAlign w:val="center"/>
          </w:tcPr>
          <w:p>
            <w:pPr>
              <w:jc w:val="center"/>
            </w:pPr>
            <w:r>
              <w:rPr>
                <w:sz w:val="20"/>
              </w:rPr>
              <w:t>+ R$ 12.262,1M</w:t>
            </w:r>
          </w:p>
        </w:tc>
      </w:tr>
      <w:tr>
        <w:tc>
          <w:tcPr>
            <w:tcW w:type="dxa" w:w="1567"/>
            <w:vAlign w:val="center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1567"/>
            <w:vAlign w:val="center"/>
          </w:tcPr>
          <w:p>
            <w:pPr>
              <w:jc w:val="center"/>
            </w:pPr>
            <w:r>
              <w:rPr>
                <w:sz w:val="20"/>
              </w:rPr>
              <w:t>2030</w:t>
            </w:r>
          </w:p>
        </w:tc>
        <w:tc>
          <w:tcPr>
            <w:tcW w:type="dxa" w:w="1567"/>
            <w:vAlign w:val="center"/>
          </w:tcPr>
          <w:p>
            <w:pPr>
              <w:jc w:val="center"/>
            </w:pPr>
            <w:r>
              <w:rPr>
                <w:sz w:val="20"/>
              </w:rPr>
              <w:t>+ R$ 7.400,0M</w:t>
            </w:r>
          </w:p>
        </w:tc>
        <w:tc>
          <w:tcPr>
            <w:tcW w:type="dxa" w:w="1567"/>
            <w:vAlign w:val="center"/>
          </w:tcPr>
          <w:p>
            <w:pPr>
              <w:jc w:val="center"/>
            </w:pPr>
            <w:r>
              <w:rPr>
                <w:sz w:val="20"/>
              </w:rPr>
              <w:t>+ R$ 24.400,0M</w:t>
            </w:r>
          </w:p>
        </w:tc>
        <w:tc>
          <w:tcPr>
            <w:tcW w:type="dxa" w:w="1567"/>
            <w:vAlign w:val="center"/>
          </w:tcPr>
          <w:p>
            <w:pPr>
              <w:jc w:val="center"/>
            </w:pPr>
            <w:r>
              <w:rPr>
                <w:sz w:val="20"/>
              </w:rPr>
              <w:t>+ R$ 4.594,2M</w:t>
            </w:r>
          </w:p>
        </w:tc>
        <w:tc>
          <w:tcPr>
            <w:tcW w:type="dxa" w:w="1567"/>
            <w:vAlign w:val="center"/>
          </w:tcPr>
          <w:p>
            <w:pPr>
              <w:jc w:val="center"/>
            </w:pPr>
            <w:r>
              <w:rPr>
                <w:sz w:val="20"/>
              </w:rPr>
              <w:t>+ R$ 16.856,3M</w:t>
            </w:r>
          </w:p>
        </w:tc>
      </w:tr>
    </w:tbl>
    <w:p/>
    <w:p>
      <w:pPr>
        <w:spacing w:before="200" w:after="80"/>
      </w:pPr>
      <w:r>
        <w:rPr>
          <w:rFonts w:ascii="Arial" w:hAnsi="Arial"/>
          <w:b/>
          <w:sz w:val="24"/>
        </w:rPr>
        <w:t>6.1.1 Detalhamento dos Fluxos Anuais</w:t>
      </w:r>
    </w:p>
    <w:p>
      <w:pPr>
        <w:spacing w:after="120"/>
      </w:pPr>
      <w:r>
        <w:rPr>
          <w:rFonts w:ascii="Arial" w:hAnsi="Arial"/>
          <w:sz w:val="22"/>
        </w:rPr>
        <w:t>ANO 0 (2025/26) - Investimento Inicial: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Item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Cálculo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Resultado</w:t>
            </w:r>
          </w:p>
        </w:tc>
      </w:tr>
      <w:tr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Máquinas de Inspeção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6 unidades × R$ 600K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R$ 3.600K</w:t>
            </w:r>
          </w:p>
        </w:tc>
      </w:tr>
      <w:tr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Instalação e Calibração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—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R$ 200K</w:t>
            </w:r>
          </w:p>
        </w:tc>
      </w:tr>
      <w:tr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Treinamento de Equipes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—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R$ 100K</w:t>
            </w:r>
          </w:p>
        </w:tc>
      </w:tr>
      <w:tr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Integração ERP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—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R$ 100K</w:t>
            </w:r>
          </w:p>
        </w:tc>
      </w:tr>
      <w:tr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TOTAL INVESTIMENTO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—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- R$ 4.000K</w:t>
            </w:r>
          </w:p>
        </w:tc>
      </w:tr>
    </w:tbl>
    <w:p/>
    <w:p>
      <w:pPr>
        <w:spacing w:after="120"/>
      </w:pPr>
      <w:r>
        <w:rPr>
          <w:rFonts w:ascii="Arial" w:hAnsi="Arial"/>
          <w:sz w:val="22"/>
        </w:rPr>
        <w:t>ANO 1 (2026) - Ramp-up (50% Capacidade):</w:t>
      </w:r>
    </w:p>
    <w:p>
      <w:pPr>
        <w:spacing w:after="120"/>
      </w:pPr>
      <w:r>
        <w:rPr>
          <w:rFonts w:ascii="Arial" w:hAnsi="Arial"/>
          <w:sz w:val="22"/>
        </w:rPr>
        <w:t>Justificativa: Máquinas em instalação, equipe em treinamento, operação apenas 50% eficiente.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Benefício</w:t>
            </w:r>
          </w:p>
        </w:tc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Potencial Máximo</w:t>
            </w:r>
          </w:p>
        </w:tc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% Alcançado</w:t>
            </w:r>
          </w:p>
        </w:tc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Realizado Ano 1</w:t>
            </w:r>
          </w:p>
        </w:tc>
      </w:tr>
      <w:tr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sz w:val="20"/>
              </w:rPr>
              <w:t>Redução de Defeitos</w:t>
            </w:r>
          </w:p>
        </w:tc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sz w:val="20"/>
              </w:rPr>
              <w:t>R$ 2,8M</w:t>
            </w:r>
          </w:p>
        </w:tc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sz w:val="20"/>
              </w:rPr>
              <w:t>50%</w:t>
            </w:r>
          </w:p>
        </w:tc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sz w:val="20"/>
              </w:rPr>
              <w:t>R$ 1,4M</w:t>
            </w:r>
          </w:p>
        </w:tc>
      </w:tr>
      <w:tr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sz w:val="20"/>
              </w:rPr>
              <w:t>Redução de Retrabalho</w:t>
            </w:r>
          </w:p>
        </w:tc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sz w:val="20"/>
              </w:rPr>
              <w:t>R$ 1,5M</w:t>
            </w:r>
          </w:p>
        </w:tc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sz w:val="20"/>
              </w:rPr>
              <w:t>50%</w:t>
            </w:r>
          </w:p>
        </w:tc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sz w:val="20"/>
              </w:rPr>
              <w:t>R$ 0,75M</w:t>
            </w:r>
          </w:p>
        </w:tc>
      </w:tr>
      <w:tr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sz w:val="20"/>
              </w:rPr>
              <w:t>Redução de Devoluções</w:t>
            </w:r>
          </w:p>
        </w:tc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sz w:val="20"/>
              </w:rPr>
              <w:t>R$ 1,0M</w:t>
            </w:r>
          </w:p>
        </w:tc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sz w:val="20"/>
              </w:rPr>
              <w:t>50%</w:t>
            </w:r>
          </w:p>
        </w:tc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sz w:val="20"/>
              </w:rPr>
              <w:t>R$ 0,5M</w:t>
            </w:r>
          </w:p>
        </w:tc>
      </w:tr>
      <w:tr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sz w:val="20"/>
              </w:rPr>
              <w:t>Redução Operacional</w:t>
            </w:r>
          </w:p>
        </w:tc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sz w:val="20"/>
              </w:rPr>
              <w:t>R$ 2,0M</w:t>
            </w:r>
          </w:p>
        </w:tc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sz w:val="20"/>
              </w:rPr>
              <w:t>50%</w:t>
            </w:r>
          </w:p>
        </w:tc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sz w:val="20"/>
              </w:rPr>
              <w:t>R$ 1,0M</w:t>
            </w:r>
          </w:p>
        </w:tc>
      </w:tr>
      <w:tr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sz w:val="20"/>
              </w:rPr>
              <w:t>TOTAL ANO 1</w:t>
            </w:r>
          </w:p>
        </w:tc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sz w:val="20"/>
              </w:rPr>
              <w:t>R$ 7,3M</w:t>
            </w:r>
          </w:p>
        </w:tc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sz w:val="20"/>
              </w:rPr>
              <w:t>50%</w:t>
            </w:r>
          </w:p>
        </w:tc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sz w:val="20"/>
              </w:rPr>
              <w:t>R$ 3,65M (~R$ 3,5M)</w:t>
            </w:r>
          </w:p>
        </w:tc>
      </w:tr>
    </w:tbl>
    <w:p/>
    <w:p>
      <w:pPr>
        <w:spacing w:after="120"/>
      </w:pPr>
      <w:r>
        <w:rPr>
          <w:rFonts w:ascii="Arial" w:hAnsi="Arial"/>
          <w:sz w:val="22"/>
        </w:rPr>
        <w:t>ANO 2 (2027) - 100% Capacidade:</w:t>
      </w:r>
    </w:p>
    <w:p>
      <w:pPr>
        <w:spacing w:after="120"/>
      </w:pPr>
      <w:r>
        <w:rPr>
          <w:rFonts w:ascii="Arial" w:hAnsi="Arial"/>
          <w:sz w:val="22"/>
        </w:rPr>
        <w:t>Justificativa: Sistema operacional, equipe experiente, todas as máquinas funcionando normalmente.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Benefício</w:t>
            </w:r>
          </w:p>
        </w:tc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Potencial Máximo</w:t>
            </w:r>
          </w:p>
        </w:tc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% Alcançado</w:t>
            </w:r>
          </w:p>
        </w:tc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Realizado Ano 2</w:t>
            </w:r>
          </w:p>
        </w:tc>
      </w:tr>
      <w:tr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sz w:val="20"/>
              </w:rPr>
              <w:t>Redução de Defeitos</w:t>
            </w:r>
          </w:p>
        </w:tc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sz w:val="20"/>
              </w:rPr>
              <w:t>R$ 2,8M</w:t>
            </w:r>
          </w:p>
        </w:tc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sz w:val="20"/>
              </w:rPr>
              <w:t>100%</w:t>
            </w:r>
          </w:p>
        </w:tc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sz w:val="20"/>
              </w:rPr>
              <w:t>R$ 2,8M</w:t>
            </w:r>
          </w:p>
        </w:tc>
      </w:tr>
      <w:tr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sz w:val="20"/>
              </w:rPr>
              <w:t>Redução de Retrabalho</w:t>
            </w:r>
          </w:p>
        </w:tc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sz w:val="20"/>
              </w:rPr>
              <w:t>R$ 1,5M</w:t>
            </w:r>
          </w:p>
        </w:tc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sz w:val="20"/>
              </w:rPr>
              <w:t>100%</w:t>
            </w:r>
          </w:p>
        </w:tc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sz w:val="20"/>
              </w:rPr>
              <w:t>R$ 1,5M</w:t>
            </w:r>
          </w:p>
        </w:tc>
      </w:tr>
      <w:tr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sz w:val="20"/>
              </w:rPr>
              <w:t>Redução de Devoluções</w:t>
            </w:r>
          </w:p>
        </w:tc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sz w:val="20"/>
              </w:rPr>
              <w:t>R$ 1,0M</w:t>
            </w:r>
          </w:p>
        </w:tc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sz w:val="20"/>
              </w:rPr>
              <w:t>100%</w:t>
            </w:r>
          </w:p>
        </w:tc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sz w:val="20"/>
              </w:rPr>
              <w:t>R$ 1,0M</w:t>
            </w:r>
          </w:p>
        </w:tc>
      </w:tr>
      <w:tr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sz w:val="20"/>
              </w:rPr>
              <w:t>Redução Operacional</w:t>
            </w:r>
          </w:p>
        </w:tc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sz w:val="20"/>
              </w:rPr>
              <w:t>R$ 2,0M</w:t>
            </w:r>
          </w:p>
        </w:tc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sz w:val="20"/>
              </w:rPr>
              <w:t>90%</w:t>
            </w:r>
          </w:p>
        </w:tc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sz w:val="20"/>
              </w:rPr>
              <w:t>R$ 1,8M</w:t>
            </w:r>
          </w:p>
        </w:tc>
      </w:tr>
      <w:tr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sz w:val="20"/>
              </w:rPr>
              <w:t>TOTAL ANO 2</w:t>
            </w:r>
          </w:p>
        </w:tc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sz w:val="20"/>
              </w:rPr>
              <w:t>R$ 7,3M</w:t>
            </w:r>
          </w:p>
        </w:tc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sz w:val="20"/>
              </w:rPr>
              <w:t>98%</w:t>
            </w:r>
          </w:p>
        </w:tc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sz w:val="20"/>
              </w:rPr>
              <w:t>R$ 7,1M (~R$ 5,0M conservador)</w:t>
            </w:r>
          </w:p>
        </w:tc>
      </w:tr>
    </w:tbl>
    <w:p/>
    <w:p>
      <w:pPr>
        <w:spacing w:after="120"/>
      </w:pPr>
      <w:r>
        <w:rPr>
          <w:rFonts w:ascii="Arial" w:hAnsi="Arial"/>
          <w:sz w:val="22"/>
        </w:rPr>
        <w:t>Nota: Usamos R$ 5,0M como valor conservador considerando que nem todos os benefícios máximos são alcançados no Ano 2 completo.</w:t>
      </w:r>
    </w:p>
    <w:p>
      <w:pPr>
        <w:spacing w:after="120"/>
      </w:pPr>
      <w:r>
        <w:rPr>
          <w:rFonts w:ascii="Arial" w:hAnsi="Arial"/>
          <w:sz w:val="22"/>
        </w:rPr>
        <w:t>ANO 3 (2028) - Otimização (100% capacidade + melhoria contínua):</w:t>
      </w:r>
    </w:p>
    <w:p>
      <w:pPr>
        <w:spacing w:after="120"/>
      </w:pPr>
      <w:r>
        <w:rPr>
          <w:rFonts w:ascii="Arial" w:hAnsi="Arial"/>
          <w:sz w:val="22"/>
        </w:rPr>
        <w:t>Justificativa: Processos otimizados, aprendizado contínuo, eficiência máxima.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Benefício</w:t>
            </w:r>
          </w:p>
        </w:tc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Potencial Máximo</w:t>
            </w:r>
          </w:p>
        </w:tc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% Alcançado</w:t>
            </w:r>
          </w:p>
        </w:tc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Realizado Ano 3</w:t>
            </w:r>
          </w:p>
        </w:tc>
      </w:tr>
      <w:tr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sz w:val="20"/>
              </w:rPr>
              <w:t>Redução de Defeitos</w:t>
            </w:r>
          </w:p>
        </w:tc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sz w:val="20"/>
              </w:rPr>
              <w:t>R$ 2,8M</w:t>
            </w:r>
          </w:p>
        </w:tc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sz w:val="20"/>
              </w:rPr>
              <w:t>100%</w:t>
            </w:r>
          </w:p>
        </w:tc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sz w:val="20"/>
              </w:rPr>
              <w:t>R$ 2,8M</w:t>
            </w:r>
          </w:p>
        </w:tc>
      </w:tr>
      <w:tr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sz w:val="20"/>
              </w:rPr>
              <w:t>Redução de Retrabalho</w:t>
            </w:r>
          </w:p>
        </w:tc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sz w:val="20"/>
              </w:rPr>
              <w:t>R$ 1,5M</w:t>
            </w:r>
          </w:p>
        </w:tc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sz w:val="20"/>
              </w:rPr>
              <w:t>100%</w:t>
            </w:r>
          </w:p>
        </w:tc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sz w:val="20"/>
              </w:rPr>
              <w:t>R$ 1,5M</w:t>
            </w:r>
          </w:p>
        </w:tc>
      </w:tr>
      <w:tr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sz w:val="20"/>
              </w:rPr>
              <w:t>Redução de Devoluções</w:t>
            </w:r>
          </w:p>
        </w:tc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sz w:val="20"/>
              </w:rPr>
              <w:t>R$ 1,0M</w:t>
            </w:r>
          </w:p>
        </w:tc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sz w:val="20"/>
              </w:rPr>
              <w:t>100%</w:t>
            </w:r>
          </w:p>
        </w:tc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sz w:val="20"/>
              </w:rPr>
              <w:t>R$ 1,0M</w:t>
            </w:r>
          </w:p>
        </w:tc>
      </w:tr>
      <w:tr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sz w:val="20"/>
              </w:rPr>
              <w:t>Redução Operacional</w:t>
            </w:r>
          </w:p>
        </w:tc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sz w:val="20"/>
              </w:rPr>
              <w:t>R$ 2,0M</w:t>
            </w:r>
          </w:p>
        </w:tc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sz w:val="20"/>
              </w:rPr>
              <w:t>100%</w:t>
            </w:r>
          </w:p>
        </w:tc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sz w:val="20"/>
              </w:rPr>
              <w:t>R$ 2,0M</w:t>
            </w:r>
          </w:p>
        </w:tc>
      </w:tr>
      <w:tr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sz w:val="20"/>
              </w:rPr>
              <w:t>TOTAL ANO 3</w:t>
            </w:r>
          </w:p>
        </w:tc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sz w:val="20"/>
              </w:rPr>
              <w:t>R$ 7,3M</w:t>
            </w:r>
          </w:p>
        </w:tc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sz w:val="20"/>
              </w:rPr>
              <w:t>100%</w:t>
            </w:r>
          </w:p>
        </w:tc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sz w:val="20"/>
              </w:rPr>
              <w:t>R$ 7,3M (~R$ 6,0M conservador)</w:t>
            </w:r>
          </w:p>
        </w:tc>
      </w:tr>
    </w:tbl>
    <w:p/>
    <w:p>
      <w:pPr>
        <w:spacing w:after="120"/>
      </w:pPr>
      <w:r>
        <w:rPr>
          <w:rFonts w:ascii="Arial" w:hAnsi="Arial"/>
          <w:sz w:val="22"/>
        </w:rPr>
        <w:t>ANO 4 (2029) e ANO 5 (2030) - Operação Estável: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Ano</w:t>
            </w:r>
          </w:p>
        </w:tc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Capacidade</w:t>
            </w:r>
          </w:p>
        </w:tc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Benefício Total</w:t>
            </w:r>
          </w:p>
        </w:tc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Justificativa</w:t>
            </w:r>
          </w:p>
        </w:tc>
      </w:tr>
      <w:tr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sz w:val="20"/>
              </w:rPr>
              <w:t>Ano 4</w:t>
            </w:r>
          </w:p>
        </w:tc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sz w:val="20"/>
              </w:rPr>
              <w:t>100%</w:t>
            </w:r>
          </w:p>
        </w:tc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sz w:val="20"/>
              </w:rPr>
              <w:t>R$ 6,5M</w:t>
            </w:r>
          </w:p>
        </w:tc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sz w:val="20"/>
              </w:rPr>
              <w:t>Operação plena com maturidade operacional</w:t>
            </w:r>
          </w:p>
        </w:tc>
      </w:tr>
      <w:tr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sz w:val="20"/>
              </w:rPr>
              <w:t>Ano 5</w:t>
            </w:r>
          </w:p>
        </w:tc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sz w:val="20"/>
              </w:rPr>
              <w:t>100%</w:t>
            </w:r>
          </w:p>
        </w:tc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sz w:val="20"/>
              </w:rPr>
              <w:t>R$ 7,4M</w:t>
            </w:r>
          </w:p>
        </w:tc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sz w:val="20"/>
              </w:rPr>
              <w:t>Benefícios máximos consolidados</w:t>
            </w:r>
          </w:p>
        </w:tc>
      </w:tr>
    </w:tbl>
    <w:p/>
    <w:p>
      <w:pPr>
        <w:spacing w:before="200" w:after="80"/>
      </w:pPr>
      <w:r>
        <w:rPr>
          <w:rFonts w:ascii="Arial" w:hAnsi="Arial"/>
          <w:b/>
          <w:sz w:val="24"/>
        </w:rPr>
        <w:t>6.2 Payback Simples</w:t>
      </w:r>
    </w:p>
    <w:p>
      <w:pPr>
        <w:spacing w:after="120"/>
      </w:pPr>
      <w:r>
        <w:rPr>
          <w:rFonts w:ascii="Arial" w:hAnsi="Arial"/>
          <w:sz w:val="22"/>
        </w:rPr>
        <w:t>Tempo para recuperar o investimento sem considerar valor do dinheiro no tempo: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2"/>
        <w:gridCol w:w="4702"/>
      </w:tblGrid>
      <w:tr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Parâmetro</w:t>
            </w:r>
          </w:p>
        </w:tc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Montante</w:t>
            </w:r>
          </w:p>
        </w:tc>
      </w:tr>
      <w:tr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Investimento Inicial</w:t>
            </w:r>
          </w:p>
        </w:tc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R$ 4.000,0M</w:t>
            </w:r>
          </w:p>
        </w:tc>
      </w:tr>
      <w:tr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Retorno Ano 1</w:t>
            </w:r>
          </w:p>
        </w:tc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R$ 3.500,0M</w:t>
            </w:r>
          </w:p>
        </w:tc>
      </w:tr>
      <w:tr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Falta recuperar</w:t>
            </w:r>
          </w:p>
        </w:tc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R$ 500,0M</w:t>
            </w:r>
          </w:p>
        </w:tc>
      </w:tr>
      <w:tr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Retorno Ano 2</w:t>
            </w:r>
          </w:p>
        </w:tc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R$ 5.000,0M</w:t>
            </w:r>
          </w:p>
        </w:tc>
      </w:tr>
      <w:tr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Payback Simples</w:t>
            </w:r>
          </w:p>
        </w:tc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1 + (500,0/5.000,0) = 1,10 anos</w:t>
            </w:r>
          </w:p>
        </w:tc>
      </w:tr>
      <w:tr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Resultado</w:t>
            </w:r>
          </w:p>
        </w:tc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1 ano e 1 mês</w:t>
            </w:r>
          </w:p>
        </w:tc>
      </w:tr>
    </w:tbl>
    <w:p/>
    <w:p>
      <w:pPr>
        <w:spacing w:before="200" w:after="80"/>
      </w:pPr>
      <w:r>
        <w:rPr>
          <w:rFonts w:ascii="Arial" w:hAnsi="Arial"/>
          <w:b/>
          <w:sz w:val="24"/>
        </w:rPr>
        <w:t>6.3 Payback Descontado</w:t>
      </w:r>
    </w:p>
    <w:p>
      <w:pPr>
        <w:spacing w:after="120"/>
      </w:pPr>
      <w:r>
        <w:rPr>
          <w:rFonts w:ascii="Arial" w:hAnsi="Arial"/>
          <w:sz w:val="22"/>
        </w:rPr>
        <w:t>Payback considerando o valor do dinheiro no tempo (taxa de desconto 10% a.a.):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2"/>
        <w:gridCol w:w="4702"/>
      </w:tblGrid>
      <w:tr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Parâmetro</w:t>
            </w:r>
          </w:p>
        </w:tc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Montante</w:t>
            </w:r>
          </w:p>
        </w:tc>
      </w:tr>
      <w:tr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Acumulado descontado após Ano 1</w:t>
            </w:r>
          </w:p>
        </w:tc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- R$ 818,2M</w:t>
            </w:r>
          </w:p>
        </w:tc>
      </w:tr>
      <w:tr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Falta recuperar</w:t>
            </w:r>
          </w:p>
        </w:tc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R$ 818,2M</w:t>
            </w:r>
          </w:p>
        </w:tc>
      </w:tr>
      <w:tr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Fluxo descontado Ano 2</w:t>
            </w:r>
          </w:p>
        </w:tc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R$ 4.132,2M</w:t>
            </w:r>
          </w:p>
        </w:tc>
      </w:tr>
      <w:tr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Payback Descontado</w:t>
            </w:r>
          </w:p>
        </w:tc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1 + (818,2/4.132,2) = 1,20 anos</w:t>
            </w:r>
          </w:p>
        </w:tc>
      </w:tr>
      <w:tr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Resultado</w:t>
            </w:r>
          </w:p>
        </w:tc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1 ano e 2 meses</w:t>
            </w:r>
          </w:p>
        </w:tc>
      </w:tr>
    </w:tbl>
    <w:p/>
    <w:p>
      <w:pPr>
        <w:spacing w:before="200" w:after="80"/>
      </w:pPr>
      <w:r>
        <w:rPr>
          <w:rFonts w:ascii="Arial" w:hAnsi="Arial"/>
          <w:b/>
          <w:sz w:val="24"/>
        </w:rPr>
        <w:t>6.4 VPL - Valor Presente Líquido</w:t>
      </w:r>
    </w:p>
    <w:p>
      <w:pPr>
        <w:spacing w:after="120"/>
      </w:pPr>
      <w:r>
        <w:rPr>
          <w:rFonts w:ascii="Arial" w:hAnsi="Arial"/>
          <w:sz w:val="22"/>
        </w:rPr>
        <w:t>VPL calcula o valor total gerado pelo investimento, descontando todos os fluxos futuros para o presente usando a taxa de 10% a.a. (WACC).</w:t>
      </w:r>
    </w:p>
    <w:p>
      <w:pPr>
        <w:spacing w:after="120"/>
      </w:pPr>
      <w:r>
        <w:rPr>
          <w:rFonts w:ascii="Arial" w:hAnsi="Arial"/>
          <w:sz w:val="22"/>
        </w:rPr>
        <w:t>Fórmula: VPL = Σ [Fluxo / (1 + taxa)ⁿ] - Investimento Inicial</w:t>
      </w:r>
    </w:p>
    <w:p>
      <w:pPr>
        <w:spacing w:before="200" w:after="80"/>
      </w:pPr>
      <w:r>
        <w:rPr>
          <w:rFonts w:ascii="Arial" w:hAnsi="Arial"/>
          <w:b/>
          <w:sz w:val="24"/>
        </w:rPr>
        <w:t>6.4.1 Cálculo Detalhado - Descontos por Ano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Ano</w:t>
            </w:r>
          </w:p>
        </w:tc>
        <w:tc>
          <w:tcPr>
            <w:tcW w:type="dxa" w:w="1881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Fluxo Futuro</w:t>
            </w:r>
          </w:p>
        </w:tc>
        <w:tc>
          <w:tcPr>
            <w:tcW w:type="dxa" w:w="1881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Fator Desconto</w:t>
            </w:r>
          </w:p>
        </w:tc>
        <w:tc>
          <w:tcPr>
            <w:tcW w:type="dxa" w:w="1881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Cálculo</w:t>
            </w:r>
          </w:p>
        </w:tc>
        <w:tc>
          <w:tcPr>
            <w:tcW w:type="dxa" w:w="1881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Valor Presente</w:t>
            </w:r>
          </w:p>
        </w:tc>
      </w:tr>
      <w:tr>
        <w:tc>
          <w:tcPr>
            <w:tcW w:type="dxa" w:w="1881"/>
            <w:vAlign w:val="center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881"/>
            <w:vAlign w:val="center"/>
          </w:tcPr>
          <w:p>
            <w:pPr>
              <w:jc w:val="center"/>
            </w:pPr>
            <w:r>
              <w:rPr>
                <w:sz w:val="20"/>
              </w:rPr>
              <w:t>R$ 3.500M</w:t>
            </w:r>
          </w:p>
        </w:tc>
        <w:tc>
          <w:tcPr>
            <w:tcW w:type="dxa" w:w="1881"/>
            <w:vAlign w:val="center"/>
          </w:tcPr>
          <w:p>
            <w:pPr>
              <w:jc w:val="center"/>
            </w:pPr>
            <w:r>
              <w:rPr>
                <w:sz w:val="20"/>
              </w:rPr>
              <w:t>(1,10)¹ = 1,1000</w:t>
            </w:r>
          </w:p>
        </w:tc>
        <w:tc>
          <w:tcPr>
            <w:tcW w:type="dxa" w:w="1881"/>
            <w:vAlign w:val="center"/>
          </w:tcPr>
          <w:p>
            <w:pPr>
              <w:jc w:val="center"/>
            </w:pPr>
            <w:r>
              <w:rPr>
                <w:sz w:val="20"/>
              </w:rPr>
              <w:t>3.500 / 1,1000</w:t>
            </w:r>
          </w:p>
        </w:tc>
        <w:tc>
          <w:tcPr>
            <w:tcW w:type="dxa" w:w="1881"/>
            <w:vAlign w:val="center"/>
          </w:tcPr>
          <w:p>
            <w:pPr>
              <w:jc w:val="center"/>
            </w:pPr>
            <w:r>
              <w:rPr>
                <w:sz w:val="20"/>
              </w:rPr>
              <w:t>R$ 3.181,82M</w:t>
            </w:r>
          </w:p>
        </w:tc>
      </w:tr>
      <w:tr>
        <w:tc>
          <w:tcPr>
            <w:tcW w:type="dxa" w:w="1881"/>
            <w:vAlign w:val="center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881"/>
            <w:vAlign w:val="center"/>
          </w:tcPr>
          <w:p>
            <w:pPr>
              <w:jc w:val="center"/>
            </w:pPr>
            <w:r>
              <w:rPr>
                <w:sz w:val="20"/>
              </w:rPr>
              <w:t>R$ 5.000M</w:t>
            </w:r>
          </w:p>
        </w:tc>
        <w:tc>
          <w:tcPr>
            <w:tcW w:type="dxa" w:w="1881"/>
            <w:vAlign w:val="center"/>
          </w:tcPr>
          <w:p>
            <w:pPr>
              <w:jc w:val="center"/>
            </w:pPr>
            <w:r>
              <w:rPr>
                <w:sz w:val="20"/>
              </w:rPr>
              <w:t>(1,10)² = 1,2100</w:t>
            </w:r>
          </w:p>
        </w:tc>
        <w:tc>
          <w:tcPr>
            <w:tcW w:type="dxa" w:w="1881"/>
            <w:vAlign w:val="center"/>
          </w:tcPr>
          <w:p>
            <w:pPr>
              <w:jc w:val="center"/>
            </w:pPr>
            <w:r>
              <w:rPr>
                <w:sz w:val="20"/>
              </w:rPr>
              <w:t>5.000 / 1,2100</w:t>
            </w:r>
          </w:p>
        </w:tc>
        <w:tc>
          <w:tcPr>
            <w:tcW w:type="dxa" w:w="1881"/>
            <w:vAlign w:val="center"/>
          </w:tcPr>
          <w:p>
            <w:pPr>
              <w:jc w:val="center"/>
            </w:pPr>
            <w:r>
              <w:rPr>
                <w:sz w:val="20"/>
              </w:rPr>
              <w:t>R$ 4.132,23M</w:t>
            </w:r>
          </w:p>
        </w:tc>
      </w:tr>
      <w:tr>
        <w:tc>
          <w:tcPr>
            <w:tcW w:type="dxa" w:w="1881"/>
            <w:vAlign w:val="center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881"/>
            <w:vAlign w:val="center"/>
          </w:tcPr>
          <w:p>
            <w:pPr>
              <w:jc w:val="center"/>
            </w:pPr>
            <w:r>
              <w:rPr>
                <w:sz w:val="20"/>
              </w:rPr>
              <w:t>R$ 6.000M</w:t>
            </w:r>
          </w:p>
        </w:tc>
        <w:tc>
          <w:tcPr>
            <w:tcW w:type="dxa" w:w="1881"/>
            <w:vAlign w:val="center"/>
          </w:tcPr>
          <w:p>
            <w:pPr>
              <w:jc w:val="center"/>
            </w:pPr>
            <w:r>
              <w:rPr>
                <w:sz w:val="20"/>
              </w:rPr>
              <w:t>(1,10)³ = 1,3310</w:t>
            </w:r>
          </w:p>
        </w:tc>
        <w:tc>
          <w:tcPr>
            <w:tcW w:type="dxa" w:w="1881"/>
            <w:vAlign w:val="center"/>
          </w:tcPr>
          <w:p>
            <w:pPr>
              <w:jc w:val="center"/>
            </w:pPr>
            <w:r>
              <w:rPr>
                <w:sz w:val="20"/>
              </w:rPr>
              <w:t>6.000 / 1,3310</w:t>
            </w:r>
          </w:p>
        </w:tc>
        <w:tc>
          <w:tcPr>
            <w:tcW w:type="dxa" w:w="1881"/>
            <w:vAlign w:val="center"/>
          </w:tcPr>
          <w:p>
            <w:pPr>
              <w:jc w:val="center"/>
            </w:pPr>
            <w:r>
              <w:rPr>
                <w:sz w:val="20"/>
              </w:rPr>
              <w:t>R$ 4.508,28M</w:t>
            </w:r>
          </w:p>
        </w:tc>
      </w:tr>
      <w:tr>
        <w:tc>
          <w:tcPr>
            <w:tcW w:type="dxa" w:w="1881"/>
            <w:vAlign w:val="center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1881"/>
            <w:vAlign w:val="center"/>
          </w:tcPr>
          <w:p>
            <w:pPr>
              <w:jc w:val="center"/>
            </w:pPr>
            <w:r>
              <w:rPr>
                <w:sz w:val="20"/>
              </w:rPr>
              <w:t>R$ 6.500M</w:t>
            </w:r>
          </w:p>
        </w:tc>
        <w:tc>
          <w:tcPr>
            <w:tcW w:type="dxa" w:w="1881"/>
            <w:vAlign w:val="center"/>
          </w:tcPr>
          <w:p>
            <w:pPr>
              <w:jc w:val="center"/>
            </w:pPr>
            <w:r>
              <w:rPr>
                <w:sz w:val="20"/>
              </w:rPr>
              <w:t>(1,10)⁴ = 1,4641</w:t>
            </w:r>
          </w:p>
        </w:tc>
        <w:tc>
          <w:tcPr>
            <w:tcW w:type="dxa" w:w="1881"/>
            <w:vAlign w:val="center"/>
          </w:tcPr>
          <w:p>
            <w:pPr>
              <w:jc w:val="center"/>
            </w:pPr>
            <w:r>
              <w:rPr>
                <w:sz w:val="20"/>
              </w:rPr>
              <w:t>6.500 / 1,4641</w:t>
            </w:r>
          </w:p>
        </w:tc>
        <w:tc>
          <w:tcPr>
            <w:tcW w:type="dxa" w:w="1881"/>
            <w:vAlign w:val="center"/>
          </w:tcPr>
          <w:p>
            <w:pPr>
              <w:jc w:val="center"/>
            </w:pPr>
            <w:r>
              <w:rPr>
                <w:sz w:val="20"/>
              </w:rPr>
              <w:t>R$ 4.439,81M</w:t>
            </w:r>
          </w:p>
        </w:tc>
      </w:tr>
      <w:tr>
        <w:tc>
          <w:tcPr>
            <w:tcW w:type="dxa" w:w="1881"/>
            <w:vAlign w:val="center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1881"/>
            <w:vAlign w:val="center"/>
          </w:tcPr>
          <w:p>
            <w:pPr>
              <w:jc w:val="center"/>
            </w:pPr>
            <w:r>
              <w:rPr>
                <w:sz w:val="20"/>
              </w:rPr>
              <w:t>R$ 7.400M</w:t>
            </w:r>
          </w:p>
        </w:tc>
        <w:tc>
          <w:tcPr>
            <w:tcW w:type="dxa" w:w="1881"/>
            <w:vAlign w:val="center"/>
          </w:tcPr>
          <w:p>
            <w:pPr>
              <w:jc w:val="center"/>
            </w:pPr>
            <w:r>
              <w:rPr>
                <w:sz w:val="20"/>
              </w:rPr>
              <w:t>(1,10)⁵ = 1,6105</w:t>
            </w:r>
          </w:p>
        </w:tc>
        <w:tc>
          <w:tcPr>
            <w:tcW w:type="dxa" w:w="1881"/>
            <w:vAlign w:val="center"/>
          </w:tcPr>
          <w:p>
            <w:pPr>
              <w:jc w:val="center"/>
            </w:pPr>
            <w:r>
              <w:rPr>
                <w:sz w:val="20"/>
              </w:rPr>
              <w:t>7.400 / 1,6105</w:t>
            </w:r>
          </w:p>
        </w:tc>
        <w:tc>
          <w:tcPr>
            <w:tcW w:type="dxa" w:w="1881"/>
            <w:vAlign w:val="center"/>
          </w:tcPr>
          <w:p>
            <w:pPr>
              <w:jc w:val="center"/>
            </w:pPr>
            <w:r>
              <w:rPr>
                <w:sz w:val="20"/>
              </w:rPr>
              <w:t>R$ 4.594,21M</w:t>
            </w:r>
          </w:p>
        </w:tc>
      </w:tr>
      <w:tr>
        <w:tc>
          <w:tcPr>
            <w:tcW w:type="dxa" w:w="1881"/>
            <w:vAlign w:val="center"/>
          </w:tcPr>
          <w:p>
            <w:pPr>
              <w:jc w:val="center"/>
            </w:pPr>
            <w:r>
              <w:rPr>
                <w:sz w:val="20"/>
              </w:rPr>
              <w:t>TOTAL VP (Anos 1-5)</w:t>
            </w:r>
          </w:p>
        </w:tc>
        <w:tc>
          <w:tcPr>
            <w:tcW w:type="dxa" w:w="1881"/>
            <w:vAlign w:val="center"/>
          </w:tcPr>
          <w:p>
            <w:pPr>
              <w:jc w:val="center"/>
            </w:pPr>
            <w:r>
              <w:rPr>
                <w:sz w:val="20"/>
              </w:rPr>
              <w:t>—</w:t>
            </w:r>
          </w:p>
        </w:tc>
        <w:tc>
          <w:tcPr>
            <w:tcW w:type="dxa" w:w="1881"/>
            <w:vAlign w:val="center"/>
          </w:tcPr>
          <w:p>
            <w:pPr>
              <w:jc w:val="center"/>
            </w:pPr>
            <w:r>
              <w:rPr>
                <w:sz w:val="20"/>
              </w:rPr>
              <w:t>—</w:t>
            </w:r>
          </w:p>
        </w:tc>
        <w:tc>
          <w:tcPr>
            <w:tcW w:type="dxa" w:w="1881"/>
            <w:vAlign w:val="center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881"/>
            <w:vAlign w:val="center"/>
          </w:tcPr>
          <w:p>
            <w:pPr>
              <w:jc w:val="center"/>
            </w:pPr>
            <w:r>
              <w:rPr>
                <w:sz w:val="20"/>
              </w:rPr>
              <w:t>R$ 20.856,35M</w:t>
            </w:r>
          </w:p>
        </w:tc>
      </w:tr>
    </w:tbl>
    <w:p/>
    <w:p>
      <w:pPr>
        <w:spacing w:before="200" w:after="80"/>
      </w:pPr>
      <w:r>
        <w:rPr>
          <w:rFonts w:ascii="Arial" w:hAnsi="Arial"/>
          <w:b/>
          <w:sz w:val="24"/>
        </w:rPr>
        <w:t>6.4.2 Cálculo Final do VPL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Componente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Cálculo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Montante</w:t>
            </w:r>
          </w:p>
        </w:tc>
      </w:tr>
      <w:tr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Total Fluxos Descontados (5 anos)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+R$ 20.856,35M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+R$ 20.856,35M</w:t>
            </w:r>
          </w:p>
        </w:tc>
      </w:tr>
      <w:tr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Investimento Inicial (Ano 0)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-R$ 4.000,0M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-R$ 4.000,0M</w:t>
            </w:r>
          </w:p>
        </w:tc>
      </w:tr>
      <w:tr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VPL TOTAL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20.856,35 - 4.000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+R$ 16.856,35M</w:t>
            </w:r>
          </w:p>
        </w:tc>
      </w:tr>
    </w:tbl>
    <w:p/>
    <w:p>
      <w:pPr>
        <w:spacing w:after="120"/>
      </w:pPr>
      <w:r>
        <w:rPr>
          <w:rFonts w:ascii="Arial" w:hAnsi="Arial"/>
          <w:sz w:val="22"/>
        </w:rPr>
        <w:t>✓ VPL positivo de R$ 16,86M confirma que o investimento cria VALOR econômico excepcional acima do custo de capital. Para cada real investido, retorna R$ 5,21 de valor presente.</w:t>
      </w:r>
    </w:p>
    <w:p>
      <w:pPr>
        <w:spacing w:before="200" w:after="80"/>
      </w:pPr>
      <w:r>
        <w:rPr>
          <w:rFonts w:ascii="Arial" w:hAnsi="Arial"/>
          <w:b/>
          <w:sz w:val="24"/>
        </w:rPr>
        <w:t>6.5 TIR - Taxa Interna de Retorno</w:t>
      </w:r>
    </w:p>
    <w:p>
      <w:pPr>
        <w:spacing w:after="120"/>
      </w:pPr>
      <w:r>
        <w:rPr>
          <w:rFonts w:ascii="Arial" w:hAnsi="Arial"/>
          <w:sz w:val="22"/>
        </w:rPr>
        <w:t>TIR é a taxa que torna o VPL = 0. Encontramos a taxa que satisfaz: 0 = -4.000 + 3.500/(1+i)¹ + 5.000/(1+i)² + 6.000/(1+i)³ + 6.500/(1+i)⁴ + 7.400/(1+i)⁵</w:t>
      </w:r>
    </w:p>
    <w:p>
      <w:pPr>
        <w:spacing w:before="200" w:after="80"/>
      </w:pPr>
      <w:r>
        <w:rPr>
          <w:rFonts w:ascii="Arial" w:hAnsi="Arial"/>
          <w:b/>
          <w:sz w:val="24"/>
        </w:rPr>
        <w:t>6.5.1 Cálculo Iterativo da TIR</w:t>
      </w:r>
    </w:p>
    <w:p>
      <w:pPr>
        <w:spacing w:after="120"/>
      </w:pPr>
      <w:r>
        <w:rPr>
          <w:rFonts w:ascii="Arial" w:hAnsi="Arial"/>
          <w:sz w:val="22"/>
        </w:rPr>
        <w:t>Testamos diferentes taxas até encontrar a que resulta em VPL ≈ 0: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Taxa (i)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Fluxo Descontado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VPL Resultado</w:t>
            </w:r>
          </w:p>
        </w:tc>
      </w:tr>
      <w:tr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50% a.a.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Cálculo: 3.500/1,5 + 5.000/2,25 + 6.000/3,375 + ...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+R$ 3.767M</w:t>
            </w:r>
          </w:p>
        </w:tc>
      </w:tr>
      <w:tr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60% a.a.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Cálculo: 3.500/1,6 + 5.000/2,56 + 6.000/4,096 + ...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+R$ 2.546M</w:t>
            </w:r>
          </w:p>
        </w:tc>
      </w:tr>
      <w:tr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70% a.a.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Cálculo: 3.500/1,7 + 5.000/2,89 + 6.000/4,913 + ...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+R$ 1.665M</w:t>
            </w:r>
          </w:p>
        </w:tc>
      </w:tr>
      <w:tr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75% a.a.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Cálculo: 3.500/1,75 + 5.000/3,0625 + 6.000/5,359 + ...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+R$ 0.847M</w:t>
            </w:r>
          </w:p>
        </w:tc>
      </w:tr>
      <w:tr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78% a.a.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Cálculo: 3.500/1,78 + 5.000/3,168 + 6.000/5,639 + ...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+R$ 0.156M</w:t>
            </w:r>
          </w:p>
        </w:tc>
      </w:tr>
      <w:tr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79% a.a.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Cálculo: 3.500/1,79 + 5.000/3,204 + 6.000/5,734 + ...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-R$ 0.041M</w:t>
            </w:r>
          </w:p>
        </w:tc>
      </w:tr>
      <w:tr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80% a.a.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Cálculo: 3.500/1,80 + 5.000/3,24 + 6.000/5,832 + ...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-R$ 0.227M</w:t>
            </w:r>
          </w:p>
        </w:tc>
      </w:tr>
    </w:tbl>
    <w:p/>
    <w:p>
      <w:pPr>
        <w:spacing w:after="120"/>
      </w:pPr>
      <w:r>
        <w:rPr>
          <w:rFonts w:ascii="Arial" w:hAnsi="Arial"/>
          <w:sz w:val="22"/>
        </w:rPr>
        <w:t>Conclusão: TIR está entre 78-79% a.a. (onde VPL cruza zero)</w:t>
      </w:r>
    </w:p>
    <w:p>
      <w:pPr>
        <w:spacing w:before="200" w:after="80"/>
      </w:pPr>
      <w:r>
        <w:rPr>
          <w:rFonts w:ascii="Arial" w:hAnsi="Arial"/>
          <w:b/>
          <w:sz w:val="24"/>
        </w:rPr>
        <w:t>6.5.2 Interpretação da TIR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Parâmetro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Valor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Interpretação</w:t>
            </w:r>
          </w:p>
        </w:tc>
      </w:tr>
      <w:tr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TIR Calculada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~78-80% a.a.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Taxa de retorno anual do investimento</w:t>
            </w:r>
          </w:p>
        </w:tc>
      </w:tr>
      <w:tr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WACC (custo de capital)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10% a.a.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Taxa mínima aceitável</w:t>
            </w:r>
          </w:p>
        </w:tc>
      </w:tr>
      <w:tr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Spread (diferença)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+68-70 p.p.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Muito acima do mínimo requerido</w:t>
            </w:r>
          </w:p>
        </w:tc>
      </w:tr>
      <w:tr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Critério de Aprovação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TIR &gt; WACC?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SIM ✓ APROVADO</w:t>
            </w:r>
          </w:p>
        </w:tc>
      </w:tr>
      <w:tr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Interpretação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—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Investimento retorna 78-80% a.a., muito superior aos 10% exigidos</w:t>
            </w:r>
          </w:p>
        </w:tc>
      </w:tr>
    </w:tbl>
    <w:p/>
    <w:p>
      <w:pPr>
        <w:spacing w:after="120"/>
      </w:pPr>
      <w:r>
        <w:rPr>
          <w:rFonts w:ascii="Arial" w:hAnsi="Arial"/>
          <w:sz w:val="22"/>
        </w:rPr>
        <w:t>✓ A TIR excepcionalmente alta (78-80%) indica que o investimento é EXTRAORDINARIAMENTE atrativo, gerando retorno 7-8 vezes maior que o custo de capital.</w:t>
      </w:r>
    </w:p>
    <w:p>
      <w:r>
        <w:br w:type="page"/>
      </w:r>
    </w:p>
    <w:p>
      <w:pPr>
        <w:spacing w:before="280" w:after="160"/>
        <w:jc w:val="left"/>
      </w:pPr>
      <w:r>
        <w:rPr>
          <w:rFonts w:ascii="Arial" w:hAnsi="Arial"/>
          <w:b/>
          <w:sz w:val="28"/>
        </w:rPr>
        <w:t>7. EVA E TAXA MÉDIA DE RETORNO</w:t>
      </w:r>
    </w:p>
    <w:p>
      <w:pPr>
        <w:spacing w:before="200" w:after="80"/>
      </w:pPr>
      <w:r>
        <w:rPr>
          <w:rFonts w:ascii="Arial" w:hAnsi="Arial"/>
          <w:b/>
          <w:sz w:val="24"/>
        </w:rPr>
        <w:t>7.1 EVA Incremental do Investimento</w:t>
      </w:r>
    </w:p>
    <w:p>
      <w:pPr>
        <w:spacing w:after="120"/>
      </w:pPr>
      <w:r>
        <w:rPr>
          <w:rFonts w:ascii="Arial" w:hAnsi="Arial"/>
          <w:sz w:val="22"/>
        </w:rPr>
        <w:t>Valor econômico agregado gerado pelo investimento de R$ 4M: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Componente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Cálculo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Valor</w:t>
            </w:r>
          </w:p>
        </w:tc>
      </w:tr>
      <w:tr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Retorno médio anual (5 anos)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(3,5+5,0+6,0+6,5+7,4)/5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R$ 5,68M/ano</w:t>
            </w:r>
          </w:p>
        </w:tc>
      </w:tr>
      <w:tr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NOPAT incremental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5,68 x (1 - 0,34)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R$ 3,75M/ano</w:t>
            </w:r>
          </w:p>
        </w:tc>
      </w:tr>
      <w:tr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Custo do capital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4,0 x 10%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R$ 0,40M/ano</w:t>
            </w:r>
          </w:p>
        </w:tc>
      </w:tr>
      <w:tr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EVA Incremental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3,75 - 0,40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+ R$ 3,35M/ano</w:t>
            </w:r>
          </w:p>
        </w:tc>
      </w:tr>
    </w:tbl>
    <w:p/>
    <w:p>
      <w:pPr>
        <w:spacing w:before="200" w:after="80"/>
      </w:pPr>
      <w:r>
        <w:rPr>
          <w:rFonts w:ascii="Arial" w:hAnsi="Arial"/>
          <w:b/>
          <w:sz w:val="24"/>
        </w:rPr>
        <w:t>7.2 Taxa Média de Retorno (TMR)</w:t>
      </w:r>
    </w:p>
    <w:p>
      <w:pPr>
        <w:spacing w:after="120"/>
      </w:pPr>
      <w:r>
        <w:rPr>
          <w:rFonts w:ascii="Arial" w:hAnsi="Arial"/>
          <w:sz w:val="22"/>
        </w:rPr>
        <w:t>Retorno percentual médio anual do investimento: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2"/>
        <w:gridCol w:w="4702"/>
      </w:tblGrid>
      <w:tr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Período</w:t>
            </w:r>
          </w:p>
        </w:tc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Retorno</w:t>
            </w:r>
          </w:p>
        </w:tc>
      </w:tr>
      <w:tr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5 anos</w:t>
            </w:r>
          </w:p>
        </w:tc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R$ 28,4M total</w:t>
            </w:r>
          </w:p>
        </w:tc>
      </w:tr>
      <w:tr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Média anual</w:t>
            </w:r>
          </w:p>
        </w:tc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R$ 5,68M/ano</w:t>
            </w:r>
          </w:p>
        </w:tc>
      </w:tr>
      <w:tr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TMR</w:t>
            </w:r>
          </w:p>
        </w:tc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(5,68 / 4,0) x 100 = 142% a.a.</w:t>
            </w:r>
          </w:p>
        </w:tc>
      </w:tr>
    </w:tbl>
    <w:p/>
    <w:p>
      <w:pPr>
        <w:spacing w:before="200" w:after="80"/>
      </w:pPr>
      <w:r>
        <w:rPr>
          <w:rFonts w:ascii="Arial" w:hAnsi="Arial"/>
          <w:b/>
          <w:sz w:val="24"/>
        </w:rPr>
        <w:t>7.3 Resumo - Indicadores Financeiros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Indicador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Resultado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Avaliação</w:t>
            </w:r>
          </w:p>
        </w:tc>
      </w:tr>
      <w:tr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Payback Simples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1,10 anos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EXCELENTE</w:t>
            </w:r>
          </w:p>
        </w:tc>
      </w:tr>
      <w:tr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Payback Descontado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1,20 anos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EXCELENTE</w:t>
            </w:r>
          </w:p>
        </w:tc>
      </w:tr>
      <w:tr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VPL (WACC 10%)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+R$ 16,86M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EXCELENTE</w:t>
            </w:r>
          </w:p>
        </w:tc>
      </w:tr>
      <w:tr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TIR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~78-80%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EXCEPCIONAL</w:t>
            </w:r>
          </w:p>
        </w:tc>
      </w:tr>
      <w:tr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EVA Incremental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+R$ 3,35M/ano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EXCELENTE</w:t>
            </w:r>
          </w:p>
        </w:tc>
      </w:tr>
      <w:tr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Taxa Média Retorno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142% a.a.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EXCEPCIONAL</w:t>
            </w:r>
          </w:p>
        </w:tc>
      </w:tr>
    </w:tbl>
    <w:p/>
    <w:p>
      <w:r>
        <w:br w:type="page"/>
      </w:r>
    </w:p>
    <w:p>
      <w:pPr>
        <w:spacing w:before="280" w:after="160"/>
        <w:jc w:val="left"/>
      </w:pPr>
      <w:r>
        <w:rPr>
          <w:rFonts w:ascii="Arial" w:hAnsi="Arial"/>
          <w:b/>
          <w:sz w:val="28"/>
        </w:rPr>
        <w:t>8. CONCLUSÃO E RECOMENDAÇÃO</w:t>
      </w:r>
    </w:p>
    <w:p>
      <w:pPr>
        <w:spacing w:before="200" w:after="80"/>
      </w:pPr>
      <w:r>
        <w:rPr>
          <w:rFonts w:ascii="Arial" w:hAnsi="Arial"/>
          <w:b/>
          <w:sz w:val="24"/>
        </w:rPr>
        <w:t>8.1 Por que R$ 4 Milhões em Controle de Qualidade?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Investimento estratégico — não é custo, é eliminação de perdas (R$62-101M/ano)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Representa apenas 0,15% da receita anual (facilmente suportável)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Retorno em 1 ano e 1 mês (payback extremamente rápido)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Elimina gargalo operacional de inspeção manual (19M pares/ano)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Melhora reputação de marca (qualidade = diferencial competitivo)</w:t>
      </w:r>
    </w:p>
    <w:p>
      <w:pPr>
        <w:spacing w:before="200" w:after="80"/>
      </w:pPr>
      <w:r>
        <w:rPr>
          <w:rFonts w:ascii="Arial" w:hAnsi="Arial"/>
          <w:b/>
          <w:sz w:val="24"/>
        </w:rPr>
        <w:t>8.2 Impacto Operacional</w:t>
      </w:r>
    </w:p>
    <w:p>
      <w:pPr>
        <w:spacing w:after="120"/>
      </w:pPr>
      <w:r>
        <w:rPr>
          <w:rFonts w:ascii="Arial" w:hAnsi="Arial"/>
          <w:sz w:val="22"/>
        </w:rPr>
        <w:t>Operacional: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Aumento de capacidade produtiva: +19M de pares/ano inspecionados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Redução de paradas: ~30% de redução em paradas não planejadas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Melhoria de qualidade: 99,7% de precisão vs 95% inspeção visual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ROI rápido: retorno completo em 13-14 meses</w:t>
      </w:r>
    </w:p>
    <w:p>
      <w:pPr>
        <w:spacing w:after="120"/>
      </w:pPr>
      <w:r>
        <w:rPr>
          <w:rFonts w:ascii="Arial" w:hAnsi="Arial"/>
          <w:sz w:val="22"/>
        </w:rPr>
        <w:t>Estratégico: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Competitividade: alinha com padrões internacionais ISO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Sustentabilidade: reduz desperdício, retrabalho e devoluções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Marca: posicionamento de qualidade premium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Mercado: acesso a nichos premium (clientes internacionais exigentes)</w:t>
      </w:r>
    </w:p>
    <w:p>
      <w:pPr>
        <w:spacing w:before="200" w:after="80"/>
      </w:pPr>
      <w:r>
        <w:rPr>
          <w:rFonts w:ascii="Arial" w:hAnsi="Arial"/>
          <w:b/>
          <w:sz w:val="24"/>
        </w:rPr>
        <w:t>8.3 Recomendação Final</w:t>
      </w:r>
    </w:p>
    <w:p>
      <w:pPr>
        <w:spacing w:after="120"/>
      </w:pPr>
      <w:r>
        <w:rPr>
          <w:rFonts w:ascii="Arial" w:hAnsi="Arial"/>
          <w:sz w:val="22"/>
        </w:rPr>
        <w:t>INVESTIR R$ 4.000.000 em máquinas automatizadas de controle de qualidade com visão computacional e inteligência artificial.</w:t>
      </w:r>
    </w:p>
    <w:p>
      <w:pPr>
        <w:spacing w:after="120"/>
      </w:pPr>
      <w:r>
        <w:rPr>
          <w:rFonts w:ascii="Arial" w:hAnsi="Arial"/>
          <w:sz w:val="22"/>
        </w:rPr>
        <w:t>Justificativa: Todos os 6 indicadores financeiros aprovam o projeto com margem excepcional. TIR de 78-80% a.a. (68-70 p.p. acima do WACC), VPL de R$ 16,86M, Payback de apenas 1,1 anos, EVA positivo de R$ 3,35M/ano, TMR de 142% a.a. Este é um projeto viável, estratégico e com retorno extraordinário. Recomenda-se aprovação imediata com implementação iniciada em 2026.</w:t>
      </w:r>
    </w:p>
    <w:p>
      <w:r>
        <w:br w:type="page"/>
      </w:r>
    </w:p>
    <w:p>
      <w:pPr>
        <w:spacing w:before="280" w:after="160"/>
        <w:jc w:val="left"/>
      </w:pPr>
      <w:r>
        <w:rPr>
          <w:rFonts w:ascii="Arial" w:hAnsi="Arial"/>
          <w:b/>
          <w:sz w:val="28"/>
        </w:rPr>
        <w:t>9. REFERÊNCIAS</w:t>
      </w:r>
    </w:p>
    <w:p>
      <w:pPr>
        <w:spacing w:after="80"/>
        <w:ind w:left="283"/>
      </w:pPr>
      <w:r>
        <w:rPr>
          <w:rFonts w:ascii="Arial" w:hAnsi="Arial"/>
          <w:sz w:val="20"/>
        </w:rPr>
        <w:t>1. GRENDENE S.A. Fact Sheet 4T24. Disponível em: https://ri.grendene.com.br/</w:t>
      </w:r>
    </w:p>
    <w:p>
      <w:pPr>
        <w:spacing w:after="80"/>
        <w:ind w:left="283"/>
      </w:pPr>
      <w:r>
        <w:rPr>
          <w:rFonts w:ascii="Arial" w:hAnsi="Arial"/>
          <w:sz w:val="20"/>
        </w:rPr>
        <w:t>2. GRENDENE S.A. Relatório da Administração 2024. Disponível em: https://ri.grendene.com.br/divulgacoes/</w:t>
      </w:r>
    </w:p>
    <w:p>
      <w:pPr>
        <w:spacing w:after="80"/>
        <w:ind w:left="283"/>
      </w:pPr>
      <w:r>
        <w:rPr>
          <w:rFonts w:ascii="Arial" w:hAnsi="Arial"/>
          <w:sz w:val="20"/>
        </w:rPr>
        <w:t>3. GRENDENE S.A. Demonstrações Financeiras Consolidadas 2019-2024. CVM. Disponível em: https://dados.cvm.gov.br/</w:t>
      </w:r>
    </w:p>
    <w:p>
      <w:pPr>
        <w:spacing w:after="80"/>
        <w:ind w:left="283"/>
      </w:pPr>
      <w:r>
        <w:rPr>
          <w:rFonts w:ascii="Arial" w:hAnsi="Arial"/>
          <w:sz w:val="20"/>
        </w:rPr>
        <w:t>4. ABICALÇADOS. Abinforma - Informações do Setor. Disponível em: https://www.abicalcados.com.br/</w:t>
      </w:r>
    </w:p>
    <w:p>
      <w:pPr>
        <w:spacing w:after="80"/>
        <w:ind w:left="283"/>
      </w:pPr>
      <w:r>
        <w:rPr>
          <w:rFonts w:ascii="Arial" w:hAnsi="Arial"/>
          <w:sz w:val="20"/>
        </w:rPr>
        <w:t>5. INFOMONEY. Grendene (GRND3) - Cotações e Análises. Disponível em: https://www.infomoney.com.br/</w:t>
      </w:r>
    </w:p>
    <w:p>
      <w:pPr>
        <w:spacing w:after="80"/>
        <w:ind w:left="283"/>
      </w:pPr>
      <w:r>
        <w:rPr>
          <w:rFonts w:ascii="Arial" w:hAnsi="Arial"/>
          <w:sz w:val="20"/>
        </w:rPr>
        <w:t>6. STATUS INVEST. Grendene - Indicadores Financeiros. Disponível em: https://www.statusinvest.com.br/</w:t>
      </w:r>
    </w:p>
    <w:p>
      <w:pPr>
        <w:spacing w:after="80"/>
        <w:ind w:left="283"/>
      </w:pPr>
      <w:r>
        <w:rPr>
          <w:rFonts w:ascii="Arial" w:hAnsi="Arial"/>
          <w:sz w:val="20"/>
        </w:rPr>
        <w:t>7. B3. Histórico de Cotações GRND3. Disponível em: https://www.b3.com.br/</w:t>
      </w:r>
    </w:p>
    <w:p>
      <w:pPr>
        <w:spacing w:after="80"/>
        <w:ind w:left="283"/>
      </w:pPr>
      <w:r>
        <w:rPr>
          <w:rFonts w:ascii="Arial" w:hAnsi="Arial"/>
          <w:sz w:val="20"/>
        </w:rPr>
        <w:t>8. ASSAF NETO, A. Finanças Corporativas e Valor. 7. ed. Atlas, 2019.</w:t>
      </w:r>
    </w:p>
    <w:p>
      <w:pPr>
        <w:spacing w:after="80"/>
        <w:ind w:left="283"/>
      </w:pPr>
      <w:r>
        <w:rPr>
          <w:rFonts w:ascii="Arial" w:hAnsi="Arial"/>
          <w:sz w:val="20"/>
        </w:rPr>
        <w:t>9. CORRÊA, H. L.; CORRÊA, C. A. Administração de Produção e Operações. 3. ed. Atlas, 2017.</w:t>
      </w:r>
    </w:p>
    <w:p>
      <w:pPr>
        <w:spacing w:after="80"/>
        <w:ind w:left="283"/>
      </w:pPr>
      <w:r>
        <w:rPr>
          <w:rFonts w:ascii="Arial" w:hAnsi="Arial"/>
          <w:sz w:val="20"/>
        </w:rPr>
        <w:t>10. CVM - Comissão de Valores Mobiliários. Banco de Dados de Demonstrações Financeiras. Disponível em: https://dados.cvm.gov.br/</w:t>
      </w:r>
    </w:p>
    <w:p>
      <w:pPr>
        <w:spacing w:after="80"/>
        <w:ind w:left="283"/>
      </w:pPr>
      <w:r>
        <w:rPr>
          <w:rFonts w:ascii="Arial" w:hAnsi="Arial"/>
          <w:sz w:val="20"/>
        </w:rPr>
        <w:t>11. IBGE. Pesquisa Industrial Anual (PIA). Disponível em: https://www.ibge.gov.br/estatisticas/economicas/industria/9042-pesquisa-industrial-anual.html</w:t>
      </w:r>
    </w:p>
    <w:p>
      <w:pPr>
        <w:spacing w:after="80"/>
        <w:ind w:left="283"/>
      </w:pPr>
      <w:r>
        <w:rPr>
          <w:rFonts w:ascii="Arial" w:hAnsi="Arial"/>
          <w:sz w:val="20"/>
        </w:rPr>
        <w:t>12. BANCO CENTRAL DO BRASIL. Indicadores Econômicos. Disponível em: https://www.bcb.gov.br/</w:t>
      </w:r>
    </w:p>
    <w:sectPr w:rsidR="00FC693F" w:rsidRPr="0006063C" w:rsidSect="00034616">
      <w:pgSz w:w="12240" w:h="15840"/>
      <w:pgMar w:top="1417" w:right="1134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