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Arial" w:hAnsi="Arial"/>
          <w:b/>
          <w:sz w:val="24"/>
        </w:rPr>
        <w:t>UNIVERSIDADE DO VALE DO RIO DOS SINOS - UNISINOS</w:t>
      </w:r>
    </w:p>
    <w:p>
      <w:pPr>
        <w:jc w:val="center"/>
      </w:pPr>
      <w:r>
        <w:rPr>
          <w:rFonts w:ascii="Arial" w:hAnsi="Arial"/>
          <w:sz w:val="24"/>
        </w:rPr>
        <w:t>Laboratório de Controladoria</w:t>
      </w:r>
    </w:p>
    <w:p/>
    <w:p/>
    <w:p>
      <w:pPr>
        <w:jc w:val="center"/>
      </w:pPr>
      <w:r>
        <w:rPr>
          <w:rFonts w:ascii="Arial" w:hAnsi="Arial"/>
          <w:b/>
          <w:sz w:val="32"/>
        </w:rPr>
        <w:t>ANÁLISE FINANCEIRA E PROPOSTA DE INVESTIMENTO</w:t>
      </w:r>
    </w:p>
    <w:p>
      <w:pPr>
        <w:jc w:val="center"/>
      </w:pPr>
      <w:r>
        <w:rPr>
          <w:rFonts w:ascii="Arial" w:hAnsi="Arial"/>
          <w:b/>
          <w:sz w:val="28"/>
        </w:rPr>
        <w:t>GRENDENE S.A.</w:t>
      </w:r>
    </w:p>
    <w:p/>
    <w:p>
      <w:pPr>
        <w:jc w:val="center"/>
      </w:pPr>
      <w:r>
        <w:rPr>
          <w:rFonts w:ascii="Arial" w:hAnsi="Arial"/>
          <w:i/>
          <w:sz w:val="22"/>
        </w:rPr>
        <w:t>Período de Análise: 2019-2024</w:t>
      </w:r>
    </w:p>
    <w:p/>
    <w:p/>
    <w:p/>
    <w:p>
      <w:pPr>
        <w:jc w:val="center"/>
      </w:pPr>
      <w:r>
        <w:rPr>
          <w:rFonts w:ascii="Arial" w:hAnsi="Arial"/>
          <w:sz w:val="22"/>
        </w:rPr>
        <w:t>Projeto Extensionista - Trabalho Acadêmico</w:t>
      </w:r>
    </w:p>
    <w:p>
      <w:pPr>
        <w:jc w:val="center"/>
      </w:pPr>
      <w:r>
        <w:rPr>
          <w:rFonts w:ascii="Arial" w:hAnsi="Arial"/>
          <w:sz w:val="22"/>
        </w:rPr>
        <w:t>São Leopoldo, 2026</w:t>
      </w:r>
    </w:p>
    <w:p>
      <w:r/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SUMARIO</w:t>
      </w:r>
    </w:p>
    <w:p>
      <w:pPr>
        <w:spacing w:after="80"/>
      </w:pPr>
      <w:r>
        <w:rPr>
          <w:rFonts w:ascii="Arial" w:hAnsi="Arial"/>
          <w:sz w:val="22"/>
        </w:rPr>
        <w:t>1. Apresentação da Grendene S.A.</w:t>
      </w:r>
    </w:p>
    <w:p>
      <w:pPr>
        <w:spacing w:after="80"/>
      </w:pPr>
      <w:r>
        <w:rPr>
          <w:rFonts w:ascii="Arial" w:hAnsi="Arial"/>
          <w:sz w:val="22"/>
        </w:rPr>
        <w:t>2. Análise do Setor Calçadista</w:t>
      </w:r>
    </w:p>
    <w:p>
      <w:pPr>
        <w:spacing w:after="80"/>
      </w:pPr>
      <w:r>
        <w:rPr>
          <w:rFonts w:ascii="Arial" w:hAnsi="Arial"/>
          <w:sz w:val="22"/>
        </w:rPr>
        <w:t>3. Análise Financeira 2019-2024</w:t>
      </w:r>
    </w:p>
    <w:p>
      <w:pPr>
        <w:spacing w:after="80"/>
      </w:pPr>
      <w:r>
        <w:rPr>
          <w:rFonts w:ascii="Arial" w:hAnsi="Arial"/>
          <w:sz w:val="22"/>
        </w:rPr>
        <w:t>4. Diagnóstico Estratégico</w:t>
      </w:r>
    </w:p>
    <w:p>
      <w:pPr>
        <w:spacing w:after="80"/>
      </w:pPr>
      <w:r>
        <w:rPr>
          <w:rFonts w:ascii="Arial" w:hAnsi="Arial"/>
          <w:sz w:val="22"/>
        </w:rPr>
        <w:t>5. Proposta de Investimento — R$ 50 Milhões (Conservador)</w:t>
      </w:r>
    </w:p>
    <w:p>
      <w:pPr>
        <w:spacing w:after="80"/>
      </w:pPr>
      <w:r>
        <w:rPr>
          <w:rFonts w:ascii="Arial" w:hAnsi="Arial"/>
          <w:sz w:val="22"/>
        </w:rPr>
        <w:t>6. Análise de Viabilidade Financeira</w:t>
      </w:r>
    </w:p>
    <w:p>
      <w:pPr>
        <w:spacing w:after="80"/>
      </w:pPr>
      <w:r>
        <w:rPr>
          <w:rFonts w:ascii="Arial" w:hAnsi="Arial"/>
          <w:sz w:val="22"/>
        </w:rPr>
        <w:t>7. EVA e Taxa Média de Retorno</w:t>
      </w:r>
    </w:p>
    <w:p>
      <w:pPr>
        <w:spacing w:after="80"/>
      </w:pPr>
      <w:r>
        <w:rPr>
          <w:rFonts w:ascii="Arial" w:hAnsi="Arial"/>
          <w:sz w:val="22"/>
        </w:rPr>
        <w:t>8. Conclusão e Recomendação</w:t>
      </w:r>
    </w:p>
    <w:p>
      <w:pPr>
        <w:spacing w:after="80"/>
      </w:pPr>
      <w:r>
        <w:rPr>
          <w:rFonts w:ascii="Arial" w:hAnsi="Arial"/>
          <w:sz w:val="22"/>
        </w:rPr>
        <w:t>9. referências</w:t>
      </w:r>
    </w:p>
    <w:p>
      <w:r/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1. apresentação DA GRENDENE S.A.</w:t>
      </w:r>
    </w:p>
    <w:p>
      <w:pPr>
        <w:spacing w:after="120"/>
      </w:pPr>
      <w:r>
        <w:rPr>
          <w:rFonts w:ascii="Arial" w:hAnsi="Arial"/>
          <w:sz w:val="22"/>
        </w:rPr>
        <w:t>A Grendene S.A. é uma das maiores fabricantes de calçados do mundo, com sede em Sobral (CE) e fundada em 1971. A empresa e reconhecida internacionalmente por marcas icônicas como Melissa, Rider, Ipanema, Grendha, Cartago e Zaxy, presente em mais de 100 países.</w:t>
      </w:r>
    </w:p>
    <w:p>
      <w:pPr>
        <w:spacing w:before="200" w:after="80"/>
      </w:pPr>
      <w:r>
        <w:rPr>
          <w:rFonts w:ascii="Arial" w:hAnsi="Arial"/>
          <w:b/>
          <w:sz w:val="24"/>
        </w:rPr>
        <w:t>1.1 Estrutura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Item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Dados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Fundação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1971 — Sobral, Ceará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Bolsa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B3 — GRND3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Capacidade Produtiva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250 milhões de pares/ano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Fabricas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11 unidades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Funcionários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~18.000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Volume Vendido (2024)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139,4 milhões de pares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Mercado Doméstico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~71% da receita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Exportações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~29% da receita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1.2 Marcas Principais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Melissa - sandalias premium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Rider - sandalias masculinas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Ipanema - sandalias femininas sustentáveis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Grendha - moda feminina acessivel</w:t>
      </w:r>
    </w:p>
    <w:p>
      <w:r/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2. ANÁLISE DO SETOR CALCADISTA</w:t>
      </w:r>
    </w:p>
    <w:p>
      <w:pPr>
        <w:spacing w:before="200" w:after="80"/>
      </w:pPr>
      <w:r>
        <w:rPr>
          <w:rFonts w:ascii="Arial" w:hAnsi="Arial"/>
          <w:b/>
          <w:sz w:val="24"/>
        </w:rPr>
        <w:t>2.1 Panorama Nacional</w:t>
      </w:r>
    </w:p>
    <w:p>
      <w:pPr>
        <w:spacing w:after="120"/>
      </w:pPr>
      <w:r>
        <w:rPr>
          <w:rFonts w:ascii="Arial" w:hAnsi="Arial"/>
          <w:sz w:val="22"/>
        </w:rPr>
        <w:t>O setor calçadista brasileiro é um dos maiores do mundo. Em 2024, a Abicalcados projetou produção de 882-893 milhões de pares. O Ceará concentra 26,7% da produção nacional é o Rio Grande do Sul, 21,2%.</w:t>
      </w:r>
    </w:p>
    <w:p>
      <w:pPr>
        <w:spacing w:before="200" w:after="80"/>
      </w:pPr>
      <w:r>
        <w:rPr>
          <w:rFonts w:ascii="Arial" w:hAnsi="Arial"/>
          <w:b/>
          <w:sz w:val="24"/>
        </w:rPr>
        <w:t>2.2 Principais Concorrentes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Empresa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Marca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Segmento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Alpargatas S.A.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Havaianas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Sandalias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Calçados Beira Rio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Beira Rio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Feminino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Vulcabras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Olympikus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Esportivo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Arezzo&amp;Co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Arezzo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Premium</w:t>
            </w:r>
          </w:p>
        </w:tc>
      </w:tr>
    </w:tbl>
    <w:p/>
    <w:p>
      <w:r/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3. ANÁLISE FINANCEIRA 2019-2024</w:t>
      </w:r>
    </w:p>
    <w:p>
      <w:pPr>
        <w:spacing w:after="120"/>
      </w:pPr>
      <w:r>
        <w:rPr>
          <w:rFonts w:ascii="Arial" w:hAnsi="Arial"/>
          <w:sz w:val="22"/>
        </w:rPr>
        <w:t>Dados extraídos das Demonstrações Financeiras consolidadas da Grendene S.A. (RI, CVM, Fact Sheet 4T24). Todos os valores em milhões de reais.</w:t>
      </w:r>
    </w:p>
    <w:p>
      <w:pPr>
        <w:spacing w:before="200" w:after="80"/>
      </w:pPr>
      <w:r>
        <w:rPr>
          <w:rFonts w:ascii="Arial" w:hAnsi="Arial"/>
          <w:b/>
          <w:sz w:val="24"/>
        </w:rPr>
        <w:t>3.1 Demonstração de Resultados - 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Receita Liq.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CPV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Lucro Bruto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EBIT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EBITDA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Lucro Liq.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2019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2.070,0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1.150,0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920,0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~483,8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413,0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483,8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1.800,0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1.100,0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700,0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~405,2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389,2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405,2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2.800,0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1.550,0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1.250,0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~541,0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470,0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541,0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3.100,0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1.850,0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1.250,0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~613,0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332,9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613,0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2.580,0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1.496,3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1.083,7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~644,8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370,7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644,8</w:t>
            </w:r>
          </w:p>
        </w:tc>
      </w:tr>
      <w:tr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2.628,6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1.387,5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1.241,1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508,4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592,7</w:t>
            </w:r>
          </w:p>
        </w:tc>
        <w:tc>
          <w:tcPr>
            <w:tcW w:type="dxa" w:w="1344"/>
            <w:vAlign w:val="center"/>
          </w:tcPr>
          <w:p>
            <w:pPr>
              <w:jc w:val="center"/>
            </w:pPr>
            <w:r>
              <w:rPr>
                <w:sz w:val="20"/>
              </w:rPr>
              <w:t>796,5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3.2 Margens (%)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Margem Bruta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Margem EBITDA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Margem Líquida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2019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44,4%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20,0%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23,4%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2020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38,9%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21,6%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22,5%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2021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44,6%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16,8%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19,3%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2022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40,3%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10,7%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19,8%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42,0%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14,4%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25,0%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2024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47,2%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22,5%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30,3%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3.3 Diagnóstico dos Indicadores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ROE 2024: 20,44% - Retorno acima do custo de capital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Margem Líquida 2024: 30,3% - recorde histórico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EBITDA 2024: R$ 592,7M - Recuperação forte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Problema: Receita travada em ~R$ 2,6B desde 2022</w:t>
      </w:r>
    </w:p>
    <w:p>
      <w:r/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4. diagnóstico ESTRATEGICO</w:t>
      </w:r>
    </w:p>
    <w:p>
      <w:pPr>
        <w:spacing w:before="200" w:after="80"/>
      </w:pPr>
      <w:r>
        <w:rPr>
          <w:rFonts w:ascii="Arial" w:hAnsi="Arial"/>
          <w:b/>
          <w:sz w:val="24"/>
        </w:rPr>
        <w:t>4.1 Pontos Fortes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Gestão de custos excepcional: CPV em 52,7% da receita (melhor histórico)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Margem líquida recordee de 30,3%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EBITDA recorde de R$ 592,7M (+59,8% vs 2023)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Alavancagem baixa (divida = 10,1% dos ativos)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Free Cash Flow de ~R$ 566M/ano</w:t>
      </w:r>
    </w:p>
    <w:p>
      <w:pPr>
        <w:spacing w:before="200" w:after="80"/>
      </w:pPr>
      <w:r>
        <w:rPr>
          <w:rFonts w:ascii="Arial" w:hAnsi="Arial"/>
          <w:b/>
          <w:sz w:val="24"/>
        </w:rPr>
        <w:t>4.2 Pontos Criticos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Receita TRAVADA em ~R$ 2,6B desde 2022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Não consegue crescer em volume de vendas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Liquidez corrente em queda (7,09x para 2,05x)</w:t>
      </w:r>
    </w:p>
    <w:p>
      <w:pPr>
        <w:spacing w:before="200" w:after="80"/>
      </w:pPr>
      <w:r>
        <w:rPr>
          <w:rFonts w:ascii="Arial" w:hAnsi="Arial"/>
          <w:b/>
          <w:sz w:val="24"/>
        </w:rPr>
        <w:t>4.3 Conclusão do Diagnóstico</w:t>
      </w:r>
    </w:p>
    <w:p>
      <w:pPr>
        <w:spacing w:after="120"/>
      </w:pPr>
      <w:r>
        <w:rPr>
          <w:rFonts w:ascii="Arial" w:hAnsi="Arial"/>
          <w:sz w:val="22"/>
        </w:rPr>
        <w:t>A Grendene domina a eficiência operacional — custos, margens e lucratividade estão em nível recorde. O gargalo eestratégico é a RECEITA: a empresa não consegue crescer desde 2022. Com caixa abundante e margem de 30%, é o momento ideal para investir em expansão de receita.</w:t>
      </w:r>
    </w:p>
    <w:p>
      <w:r/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5. PROPOSTA DE INVESTIMENTO — R$ 50 milhões</w:t>
      </w:r>
    </w:p>
    <w:p>
      <w:pPr>
        <w:spacing w:before="200" w:after="80"/>
      </w:pPr>
      <w:r>
        <w:rPr>
          <w:rFonts w:ascii="Arial" w:hAnsi="Arial"/>
          <w:b/>
          <w:sz w:val="24"/>
        </w:rPr>
        <w:t>5.1 Racional</w:t>
      </w:r>
    </w:p>
    <w:p>
      <w:pPr>
        <w:spacing w:after="120"/>
      </w:pPr>
      <w:r>
        <w:rPr>
          <w:rFonts w:ascii="Arial" w:hAnsi="Arial"/>
          <w:sz w:val="22"/>
        </w:rPr>
        <w:t>A proposta foca em dois eixos complementares de crescimento de receita: canal digital direto ao consumidor (E-commerce DTC) e diferenciação por linha sustentável premium.</w:t>
      </w:r>
    </w:p>
    <w:p>
      <w:pPr>
        <w:spacing w:before="200" w:after="80"/>
      </w:pPr>
      <w:r>
        <w:rPr>
          <w:rFonts w:ascii="Arial" w:hAnsi="Arial"/>
          <w:b/>
          <w:sz w:val="24"/>
        </w:rPr>
        <w:t>5.2 Estrutura de Investimento</w:t>
      </w:r>
    </w:p>
    <w:p>
      <w:pPr>
        <w:spacing w:after="120"/>
      </w:pPr>
      <w:r>
        <w:rPr>
          <w:rFonts w:ascii="Arial" w:hAnsi="Arial"/>
          <w:sz w:val="22"/>
        </w:rPr>
        <w:t>Investimento total: R$ 50 Milhões, faseado em dois anos: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Fase 1 (2025)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Fase 2 (2026)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Total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E-commerce DTC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R$ 20M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R$ 10M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R$ 30M (60%)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Linha Sustentável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R$ 10M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R$ 10M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R$ 20M (40%)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TOTAL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R$ 30M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R$ 20M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sz w:val="20"/>
              </w:rPr>
              <w:t>R$ 50M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5.3 Justificativa</w:t>
      </w:r>
    </w:p>
    <w:p>
      <w:pPr>
        <w:spacing w:after="120"/>
      </w:pPr>
      <w:r>
        <w:rPr>
          <w:rFonts w:ascii="Arial" w:hAnsi="Arial"/>
          <w:sz w:val="22"/>
        </w:rPr>
        <w:t>E-Commerce DTC (R$ 30M):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Margens direto ao consumidor sao 60-70% maiores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Receita cresce sem expandir produção - usa capacidade ociosa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Crescimento digital de moda e irreversivel pos-COVID</w:t>
      </w:r>
    </w:p>
    <w:p>
      <w:pPr>
        <w:spacing w:after="120"/>
      </w:pPr>
      <w:r>
        <w:rPr>
          <w:rFonts w:ascii="Arial" w:hAnsi="Arial"/>
          <w:sz w:val="22"/>
        </w:rPr>
        <w:t>Linha Sustentável Premium (R$ 20M):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Tendência global de sustentabilidade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Margens de 40-50% - acima da média atual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Novo público consciente ambientalmente</w:t>
      </w:r>
    </w:p>
    <w:p>
      <w:r/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6. ANÁLISE DE VIABILIDADE FINANCEIRA</w:t>
      </w:r>
    </w:p>
    <w:p>
      <w:pPr>
        <w:spacing w:before="200" w:after="80"/>
      </w:pPr>
      <w:r>
        <w:rPr>
          <w:rFonts w:ascii="Arial" w:hAnsi="Arial"/>
          <w:b/>
          <w:sz w:val="24"/>
        </w:rPr>
        <w:t>6.1 Fluxo de Caixa Incremental (5 anos)</w:t>
      </w:r>
    </w:p>
    <w:p>
      <w:pPr>
        <w:spacing w:after="120"/>
      </w:pPr>
      <w:r>
        <w:rPr>
          <w:rFonts w:ascii="Arial" w:hAnsi="Arial"/>
          <w:sz w:val="22"/>
        </w:rPr>
        <w:t>Investimento de R$ 50M com retornos progressivos: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Fluxo de Caixa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Acumulado Simples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VP @ 10%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Acumulado VP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2024/25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2025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R$ 8,0M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R$ 42,0M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R$ 7,3M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R$ 42,7M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2026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R$ 16,0M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R$ 26,0M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R$ 13,2M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R$ 29,5M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2027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R$ 24,0M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R$ 2,0M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R$ 18,0M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- R$ 11,5M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2028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R$ 30,0M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R$ 28,0M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R$ 20,5M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R$ 9,0M</w:t>
            </w:r>
          </w:p>
        </w:tc>
      </w:tr>
      <w:tr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2029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R$ 35,0M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R$ 63,0M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R$ 21,7M</w:t>
            </w:r>
          </w:p>
        </w:tc>
        <w:tc>
          <w:tcPr>
            <w:tcW w:type="dxa" w:w="1567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R$ 30,7M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6.2 Payback Simples</w:t>
      </w:r>
    </w:p>
    <w:p>
      <w:pPr>
        <w:spacing w:after="120"/>
      </w:pPr>
      <w:r>
        <w:rPr>
          <w:rFonts w:ascii="Arial" w:hAnsi="Arial"/>
          <w:sz w:val="22"/>
        </w:rPr>
        <w:t>Tempo para recuperar o investimento sem considerar valor do dinheiro no tempo: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Investimento Inicial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R$ 50,0M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Retorno Ano 1-3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R$ 48,0M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Falta recuperar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R$ 2,0M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Retorno Ano 4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R$ 30,0M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Simples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3 + (2,0/30,0) = 3,07 anos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Resultado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3 anos e 1 mes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6.3 Payback Ajustado</w:t>
      </w:r>
    </w:p>
    <w:p>
      <w:pPr>
        <w:spacing w:after="120"/>
      </w:pPr>
      <w:r>
        <w:rPr>
          <w:rFonts w:ascii="Arial" w:hAnsi="Arial"/>
          <w:sz w:val="22"/>
        </w:rPr>
        <w:t>Payback considerando o valor do dinheiro no tempo (taxa de desconto 10% a.a.):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VP acumulado apos Ano 3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R$ 38,5M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Falta recuperar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R$ 11,5M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VP do Ano 4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R$ 20,5M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Ajustado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3 + (11,5/20,5) = 3,56 anos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Resultado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3 anos e 7 meses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6.4 VPL - Valor Presente Líquido</w:t>
      </w:r>
    </w:p>
    <w:p>
      <w:pPr>
        <w:spacing w:after="120"/>
      </w:pPr>
      <w:r>
        <w:rPr>
          <w:rFonts w:ascii="Arial" w:hAnsi="Arial"/>
          <w:sz w:val="22"/>
        </w:rPr>
        <w:t>VPL @ 10% (WACC):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VP dos fluxos (anos 1-5)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+ R$ 80,75M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Investimento inicial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- R$ 50,0M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VPL TOTAL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+ R$ 30,75M</w:t>
            </w:r>
          </w:p>
        </w:tc>
      </w:tr>
    </w:tbl>
    <w:p/>
    <w:p>
      <w:pPr>
        <w:spacing w:after="120"/>
      </w:pPr>
      <w:r>
        <w:rPr>
          <w:rFonts w:ascii="Arial" w:hAnsi="Arial"/>
          <w:sz w:val="22"/>
        </w:rPr>
        <w:t>VPL positivo confirma que o investimento cria valor econômico acima do custo de capital.</w:t>
      </w:r>
    </w:p>
    <w:p>
      <w:pPr>
        <w:spacing w:before="200" w:after="80"/>
      </w:pPr>
      <w:r>
        <w:rPr>
          <w:rFonts w:ascii="Arial" w:hAnsi="Arial"/>
          <w:b/>
          <w:sz w:val="24"/>
        </w:rPr>
        <w:t>6.5 TIR - Taxa Interna de Retorno</w:t>
      </w:r>
    </w:p>
    <w:p>
      <w:pPr>
        <w:spacing w:after="120"/>
      </w:pPr>
      <w:r>
        <w:rPr>
          <w:rFonts w:ascii="Arial" w:hAnsi="Arial"/>
          <w:sz w:val="22"/>
        </w:rPr>
        <w:t>TIR calculada: ~26-27% a.a.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Parâmetro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TIR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~26-27% a.a.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WACC (custo de capital)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10% a.a.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Spread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+16-17 p.p.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critério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TIR &gt; WACC = APROVADO</w:t>
            </w:r>
          </w:p>
        </w:tc>
      </w:tr>
    </w:tbl>
    <w:p/>
    <w:p>
      <w:r/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7. EVA E TAXA média DE RETORNO</w:t>
      </w:r>
    </w:p>
    <w:p>
      <w:pPr>
        <w:spacing w:before="200" w:after="80"/>
      </w:pPr>
      <w:r>
        <w:rPr>
          <w:rFonts w:ascii="Arial" w:hAnsi="Arial"/>
          <w:b/>
          <w:sz w:val="24"/>
        </w:rPr>
        <w:t>7.1 EVA Incremental do Investimento</w:t>
      </w:r>
    </w:p>
    <w:p>
      <w:pPr>
        <w:spacing w:after="120"/>
      </w:pPr>
      <w:r>
        <w:rPr>
          <w:rFonts w:ascii="Arial" w:hAnsi="Arial"/>
          <w:sz w:val="22"/>
        </w:rPr>
        <w:t>Valor econômico agregado gerado pelo investimento de R$ 50M: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Componente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Calculo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Valor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Retorno médio anual (5 anos)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(8+16+24+30+35)/5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R$ 22,6M/ano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NOPAT incremental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22,6 x (1 - 0,34)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R$ 14,92M/ano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Custo do capital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50 x 10%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R$ 5,0M/ano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EVA Incremental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14,92 - 5,0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+ R$ 9,92M/ano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7.2 Taxa Média de Retorno (TMR)</w:t>
      </w:r>
    </w:p>
    <w:p>
      <w:pPr>
        <w:spacing w:after="120"/>
      </w:pPr>
      <w:r>
        <w:rPr>
          <w:rFonts w:ascii="Arial" w:hAnsi="Arial"/>
          <w:sz w:val="22"/>
        </w:rPr>
        <w:t>Retorno percentual médio anual do investimento: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Período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Retorno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5 anos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R$ 113M total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média anual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R$ 22,6M/ano</w:t>
            </w:r>
          </w:p>
        </w:tc>
      </w:tr>
      <w:tr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TMR</w:t>
            </w:r>
          </w:p>
        </w:tc>
        <w:tc>
          <w:tcPr>
            <w:tcW w:type="dxa" w:w="4702"/>
            <w:vAlign w:val="center"/>
          </w:tcPr>
          <w:p>
            <w:pPr>
              <w:jc w:val="center"/>
            </w:pPr>
            <w:r>
              <w:rPr>
                <w:sz w:val="20"/>
              </w:rPr>
              <w:t>(22,6 / 50) x 100 = 45,2% a.a.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7.3 Resumo - Indicadores Financeiros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Resultado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Avaliação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Simples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3,07 anos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Payback Ajustado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3,56 anos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VPL @ 10%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+R$ 30,75M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TIR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~26-27%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EVA Incremental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+R$ 9,92M/ano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Taxa média Retorno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45,2% a.a.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EXCELENTE</w:t>
            </w:r>
          </w:p>
        </w:tc>
      </w:tr>
    </w:tbl>
    <w:p/>
    <w:p>
      <w:r/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8. conclusão E recomendação</w:t>
      </w:r>
    </w:p>
    <w:p>
      <w:pPr>
        <w:spacing w:before="200" w:after="80"/>
      </w:pPr>
      <w:r>
        <w:rPr>
          <w:rFonts w:ascii="Arial" w:hAnsi="Arial"/>
          <w:b/>
          <w:sz w:val="24"/>
        </w:rPr>
        <w:t>8.1 Por que R$ 50M?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Investimento conservador (menos risco de execução)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Representa 9,9% do lucro anual - empresa consegue facilmente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Deixa margem de manobra para contingencias em 2026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Valida o modelo E-commerce antes de expandir mais</w:t>
      </w:r>
    </w:p>
    <w:p>
      <w:pPr>
        <w:spacing w:before="200" w:after="80"/>
      </w:pPr>
      <w:r>
        <w:rPr>
          <w:rFonts w:ascii="Arial" w:hAnsi="Arial"/>
          <w:b/>
          <w:sz w:val="24"/>
        </w:rPr>
        <w:t>8.2 Estrutura Faseada</w:t>
      </w:r>
    </w:p>
    <w:p>
      <w:pPr>
        <w:spacing w:after="120"/>
      </w:pPr>
      <w:r>
        <w:rPr>
          <w:rFonts w:ascii="Arial" w:hAnsi="Arial"/>
          <w:sz w:val="22"/>
        </w:rPr>
        <w:t>Fase 1 (2025): R$ 30M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E-commerce DTC: R$ 20M - prioridade principal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Linha Sustentável: R$ 10M - validação</w:t>
      </w:r>
    </w:p>
    <w:p>
      <w:pPr>
        <w:spacing w:after="120"/>
      </w:pPr>
      <w:r>
        <w:rPr>
          <w:rFonts w:ascii="Arial" w:hAnsi="Arial"/>
          <w:sz w:val="22"/>
        </w:rPr>
        <w:t>Fase 2 (2026): R$ 20M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Expansão baseada em resultados de 2025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Reforco em melhor desempenho</w:t>
      </w:r>
    </w:p>
    <w:p>
      <w:pPr>
        <w:spacing w:before="200" w:after="80"/>
      </w:pPr>
      <w:r>
        <w:rPr>
          <w:rFonts w:ascii="Arial" w:hAnsi="Arial"/>
          <w:b/>
          <w:sz w:val="24"/>
        </w:rPr>
        <w:t>8.3 Projeção 2025-2026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Cenario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Receita 2025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Receita 2026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Base (sem investimento)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~R$ 2.650M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~R$ 2.700M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Com Investimento R$ 50M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~R$ 2.760M (+5%)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sz w:val="20"/>
              </w:rPr>
              <w:t>~R$ 2.900M (+5%)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sz w:val="24"/>
        </w:rPr>
        <w:t>8.4 Recomendação Final</w:t>
      </w:r>
    </w:p>
    <w:p>
      <w:pPr>
        <w:spacing w:after="120"/>
      </w:pPr>
      <w:r>
        <w:rPr>
          <w:rFonts w:ascii="Arial" w:hAnsi="Arial"/>
          <w:sz w:val="22"/>
        </w:rPr>
        <w:t>INVESTIR R$ 50 milhões (faseado) em E-Commerce DTC + Linha Sustentável.</w:t>
      </w:r>
    </w:p>
    <w:p>
      <w:pPr>
        <w:spacing w:after="120"/>
      </w:pPr>
      <w:r>
        <w:rPr>
          <w:rFonts w:ascii="Arial" w:hAnsi="Arial"/>
          <w:sz w:val="22"/>
        </w:rPr>
        <w:t>Justificativa: Todos os 6 indicadores financeiros aprovam. TIR de 26-27%, VPL de R$ 30,75M, Payback em 3 anos e 1 mes, EVA positivo. Abordagem conservadora deixa flexibilidade para 2026.</w:t>
      </w:r>
    </w:p>
    <w:p>
      <w:r/>
    </w:p>
    <w:p>
      <w:pPr>
        <w:spacing w:before="280" w:after="160"/>
        <w:jc w:val="left"/>
      </w:pPr>
      <w:r>
        <w:rPr>
          <w:rFonts w:ascii="Arial" w:hAnsi="Arial"/>
          <w:b/>
          <w:sz w:val="28"/>
        </w:rPr>
        <w:t>9. referências</w:t>
      </w:r>
    </w:p>
    <w:p>
      <w:pPr>
        <w:spacing w:after="80"/>
        <w:ind w:left="283"/>
      </w:pPr>
      <w:r>
        <w:rPr>
          <w:rFonts w:ascii="Arial" w:hAnsi="Arial"/>
          <w:sz w:val="20"/>
        </w:rPr>
        <w:t>1. GRENDENE S.A. Fact Sheet 4T24. ri.grendene.com.br.</w:t>
      </w:r>
    </w:p>
    <w:p>
      <w:pPr>
        <w:spacing w:after="80"/>
        <w:ind w:left="283"/>
      </w:pPr>
      <w:r>
        <w:rPr>
          <w:rFonts w:ascii="Arial" w:hAnsi="Arial"/>
          <w:sz w:val="20"/>
        </w:rPr>
        <w:t>2. GRENDENE S.A. relatório da Administração 2024. RI Grendene.</w:t>
      </w:r>
    </w:p>
    <w:p>
      <w:pPr>
        <w:spacing w:after="80"/>
        <w:ind w:left="283"/>
      </w:pPr>
      <w:r>
        <w:rPr>
          <w:rFonts w:ascii="Arial" w:hAnsi="Arial"/>
          <w:sz w:val="20"/>
        </w:rPr>
        <w:t>3. GRENDENE S.A. Demonstrações Financeiras consolidadas 2019-2024. CVM.</w:t>
      </w:r>
    </w:p>
    <w:p>
      <w:pPr>
        <w:spacing w:after="80"/>
        <w:ind w:left="283"/>
      </w:pPr>
      <w:r>
        <w:rPr>
          <w:rFonts w:ascii="Arial" w:hAnsi="Arial"/>
          <w:sz w:val="20"/>
        </w:rPr>
        <w:t>4. ABICALCADOS. Abinforma Outubro/2024.</w:t>
      </w:r>
    </w:p>
    <w:p>
      <w:pPr>
        <w:spacing w:after="80"/>
        <w:ind w:left="283"/>
      </w:pPr>
      <w:r>
        <w:rPr>
          <w:rFonts w:ascii="Arial" w:hAnsi="Arial"/>
          <w:sz w:val="20"/>
        </w:rPr>
        <w:t>5. INFOMONEY. Grendene (GRND3) - Resultados 4T24. 2026.</w:t>
      </w:r>
    </w:p>
    <w:p>
      <w:pPr>
        <w:spacing w:after="80"/>
        <w:ind w:left="283"/>
      </w:pPr>
      <w:r>
        <w:rPr>
          <w:rFonts w:ascii="Arial" w:hAnsi="Arial"/>
          <w:sz w:val="20"/>
        </w:rPr>
        <w:t>6. STATUS INVEST. Grendene - Indicadores Financeiros 2024.</w:t>
      </w:r>
    </w:p>
    <w:p>
      <w:pPr>
        <w:spacing w:after="80"/>
        <w:ind w:left="283"/>
      </w:pPr>
      <w:r>
        <w:rPr>
          <w:rFonts w:ascii="Arial" w:hAnsi="Arial"/>
          <w:sz w:val="20"/>
        </w:rPr>
        <w:t>7. B3. Histórico de cotacoes GRND3. b3.com.br.</w:t>
      </w:r>
    </w:p>
    <w:p>
      <w:pPr>
        <w:spacing w:after="80"/>
        <w:ind w:left="283"/>
      </w:pPr>
      <w:r>
        <w:rPr>
          <w:rFonts w:ascii="Arial" w:hAnsi="Arial"/>
          <w:sz w:val="20"/>
        </w:rPr>
        <w:t>8. ASSAF NETO, A. Financas Corporativas e Valor. 7. ed. Atlas, 2019.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