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8"/>
        <w:gridCol w:w="2891"/>
        <w:gridCol w:w="2699"/>
      </w:tblGrid>
      <w:tr>
        <w:tc>
          <w:tcPr>
            <w:tcW w:type="dxa" w:w="4048"/>
            <w:vMerge w:val="restart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ATA DE REUNIÃO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2EA"/>
                <w:sz w:val="16"/>
                <w:szCs w:val="16"/>
              </w:rPr>
              <w:t xml:space="preserve">Padrão MTS • Documento de registro</w:t>
            </w:r>
          </w:p>
        </w:tc>
        <w:tc>
          <w:tcPr>
            <w:tcW w:type="dxa" w:w="289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EA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CÓDIGO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CLG-ATA-2026-001</w:t>
            </w:r>
          </w:p>
        </w:tc>
        <w:tc>
          <w:tcPr>
            <w:tcW w:type="dxa" w:w="269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EA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VERSÃO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vMerge w:val="continue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</w:tcPr>
          <w:p/>
        </w:tc>
        <w:tc>
          <w:tcPr>
            <w:tcW w:type="dxa" w:w="289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EA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DATA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29/07/2026</w:t>
            </w:r>
          </w:p>
        </w:tc>
        <w:tc>
          <w:tcPr>
            <w:tcW w:type="dxa" w:w="269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EA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Nº REUNIÃO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</w:tbl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76"/>
        <w:gridCol w:w="3662"/>
      </w:tblGrid>
      <w:tr>
        <w:tc>
          <w:tcPr>
            <w:tcW w:type="dxa" w:w="597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PROJETO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Cligen — Plataforma de gestão de exames e pacientes</w:t>
            </w:r>
          </w:p>
        </w:tc>
        <w:tc>
          <w:tcPr>
            <w:tcW w:type="dxa" w:w="3662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CLASSIFICAÇÃO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Restrito</w:t>
            </w:r>
          </w:p>
        </w:tc>
      </w:tr>
      <w:tr>
        <w:tc>
          <w:tcPr>
            <w:tcW w:type="dxa" w:w="597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TÍTULO DA REUNIÃO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Levantamento de requisitos — Escopo funcional da plataforma</w:t>
            </w:r>
          </w:p>
        </w:tc>
        <w:tc>
          <w:tcPr>
            <w:tcW w:type="dxa" w:w="3662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LOCAL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Remoto (videoconferência)</w:t>
            </w:r>
          </w:p>
        </w:tc>
      </w:tr>
      <w:tr>
        <w:tc>
          <w:tcPr>
            <w:tcW w:type="dxa" w:w="597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REDATOR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Mateus</w:t>
            </w:r>
          </w:p>
        </w:tc>
        <w:tc>
          <w:tcPr>
            <w:tcW w:type="dxa" w:w="3662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25B"/>
                <w:sz w:val="18"/>
                <w:szCs w:val="18"/>
              </w:rPr>
              <w:t xml:space="preserve">HORÁRIO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6425B" w:sz="8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4"/>
          <w:szCs w:val="24"/>
        </w:rPr>
        <w:t xml:space="preserve">1.  Resumo executivo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F6F8F" w:sz="24"/>
              <w:bottom w:val="none" w:color="FFFFFF" w:sz="0"/>
              <w:right w:val="none" w:color="FFFFFF" w:sz="0"/>
            </w:tcBorders>
            <w:shd w:fill="F4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6F8F"/>
                <w:sz w:val="18"/>
                <w:szCs w:val="18"/>
              </w:rPr>
              <w:t xml:space="preserve">RESUMO EXECUTIVO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Fechado o escopo funcional inicial da plataforma: cadastro único de paciente com ID, cadastro de exame com cálculo automático da data de liberação, fluxo de laudo em três etapas e portal de consulta do paciente.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Definiu-se que a disponibilização do laudo ao paciente é ato manual da equipe Cligen, acionado por botão dedicado, com disparo automático de e-mail e WhatsApp (decisões D8 e D9).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Definidos dois modelos distintos de comunicação de laudo disponível, conforme o médico solicitante seja interno ou externo (decisão D11).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Registrados três pontos de conformidade ainda sem solução: credenciais derivadas de CPF frente à LGPD, assinatura digital do laudo e guarda de prontuário por vinte anos (ações A1, A5 e A6).</w:t>
            </w:r>
          </w:p>
        </w:tc>
      </w:tr>
    </w:tbl>
    <w:p>
      <w:pPr>
        <w:pStyle w:val="Heading1"/>
        <w:pBdr>
          <w:bottom w:val="single" w:color="16425B" w:sz="8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4"/>
          <w:szCs w:val="24"/>
        </w:rPr>
        <w:t xml:space="preserve">2.  Participantes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P = presente • R = remoto • A = ausente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120"/>
        <w:gridCol w:w="3277"/>
        <w:gridCol w:w="1350"/>
      </w:tblGrid>
      <w:tr>
        <w:trPr>
          <w:tblHeader/>
        </w:trPr>
        <w:tc>
          <w:tcPr>
            <w:tcW w:type="dxa" w:w="289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120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Empresa / Área</w:t>
            </w:r>
          </w:p>
        </w:tc>
        <w:tc>
          <w:tcPr>
            <w:tcW w:type="dxa" w:w="327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E-mail</w:t>
            </w:r>
          </w:p>
        </w:tc>
        <w:tc>
          <w:tcPr>
            <w:tcW w:type="dxa" w:w="1350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Presença</w:t>
            </w:r>
          </w:p>
        </w:tc>
      </w:tr>
      <w:tr>
        <w:tc>
          <w:tcPr>
            <w:tcW w:type="dxa" w:w="289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Mateus</w:t>
            </w:r>
          </w:p>
        </w:tc>
        <w:tc>
          <w:tcPr>
            <w:tcW w:type="dxa" w:w="2120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Engenharia / Desenvolvimento</w:t>
            </w:r>
          </w:p>
        </w:tc>
        <w:tc>
          <w:tcPr>
            <w:tcW w:type="dxa" w:w="327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9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confirmar</w:t>
            </w:r>
          </w:p>
        </w:tc>
        <w:tc>
          <w:tcPr>
            <w:tcW w:type="dxa" w:w="2120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Cligen / Direção clínica</w:t>
            </w:r>
          </w:p>
        </w:tc>
        <w:tc>
          <w:tcPr>
            <w:tcW w:type="dxa" w:w="327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</w:tr>
    </w:tbl>
    <w:p>
      <w:pPr>
        <w:pStyle w:val="Heading1"/>
        <w:pBdr>
          <w:bottom w:val="single" w:color="16425B" w:sz="8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4"/>
          <w:szCs w:val="24"/>
        </w:rPr>
        <w:t xml:space="preserve">3.  Pauta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Cadastro do paciente e identificação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Cadastro do exame, catálogo e prazos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Registro financeiro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Fluxo de andamento e disponibilização do laudo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Acesso do paciente e comunicação automática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Dashboard gerencial e perfis de acesso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Conformidade regulatória e segurança da informação</w:t>
      </w:r>
    </w:p>
    <w:p>
      <w:pPr>
        <w:pStyle w:val="Heading1"/>
        <w:pBdr>
          <w:bottom w:val="single" w:color="16425B" w:sz="8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4"/>
          <w:szCs w:val="24"/>
        </w:rPr>
        <w:t xml:space="preserve">4.  Discussões e decisões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2F6F8F"/>
          <w:sz w:val="21"/>
          <w:szCs w:val="21"/>
        </w:rPr>
        <w:t xml:space="preserve">4.1  Cadastro do paciente e identificação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Foram definidos os campos de entrada do paciente e o mecanismo de identificação única. Discutiu-se a natureza do campo Origem, concluindo-se que ele qualifica o exame e não o paciente, uma vez que um mesmo paciente pode ingressar por canais distintos em atendimentos diferentes.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cadastro do paciente é realizado exclusivamente pela equipe Cligen. Não haverá auto-cadastro pelo paciente na plataforma.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sistema gera um número de cadastro (ID) por paciente. O cadastro é único e persistente: exames subsequentes são vinculados ao mesmo registro, sem necessidade de novo cadastramento.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Campos do cadastro: nome, data de nascimento, CPF, e-mail e telefone.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D4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campo Origem terá quatro opções — Cligen, Clínica Parceira, Site Cligen e Plataforma — e será atributo do exame, não do cadastro do paciente.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2F6F8F"/>
          <w:sz w:val="21"/>
          <w:szCs w:val="21"/>
        </w:rPr>
        <w:t xml:space="preserve">4.2  Cadastro do exame, catálogo e prazos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Definiu-se a estrutura do registro de exame e a regra de cálculo da data de liberação do laudo. Permanece pendente a confirmação da data-base do cálculo, discutida na reunião sem conclusão: data de entrada do cadastro ou data de acolhimento da amostra.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D5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catálogo conterá aproximadamente 150 exames, cada um com prazo em dias para o resultado. O prazo será exibido na tela no momento da seleção do exame.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D6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data de liberação do laudo será calculada automaticamente pela soma da data de entrada com o prazo em dias do exame selecionado.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D7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registro do exame conterá: nome do exame, preço, formas de pagamento, destino (campo descritivo), data de entrada, prazo em dias, data de liberação (automática), médico solicitante classificado como interno ou externo, e upload de até três arquivos em PDF ou imagem.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2F6F8F"/>
          <w:sz w:val="21"/>
          <w:szCs w:val="21"/>
        </w:rPr>
        <w:t xml:space="preserve">4.3  Registro financeiro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Foi levantada a necessidade de flexibilidade no registro de pagamento. O cliente informou que um mesmo exame pode ser quitado por mais de um meio, o que exige tratar o pagamento como registro múltiplo vinculado ao exame, e não como campo único.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D8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preço será registrado como valor numérico e o pagamento admitirá a combinação de até dois métodos (Pix e cartão de crédito) na mesma transação, com registro do valor efetivamente pago.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2F6F8F"/>
          <w:sz w:val="21"/>
          <w:szCs w:val="21"/>
        </w:rPr>
        <w:t xml:space="preserve">4.4  Fluxo de andamento e disponibilização do laudo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Foi detalhado o fluxo de tramitação do laudo em três etapas sequenciais, cada uma com upload de arquivo e registro automático de data. Esclareceu-se que a existência do laudo revisado não implica sua disponibilização ao paciente, que permanece sob controle da equipe.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D9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andamento do exame terá três etapas com registro de data: Laudo Parceiro Pronto, Laudo Cligen para revisão e Laudo revisado. Cada etapa comporta upload do respectivo arquivo.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D10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disponibilização do laudo ao paciente será ato manual, acionado por botão dedicado. O laudo revisado poderá permanecer no sistema sem estar visível ao paciente.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2F6F8F"/>
          <w:sz w:val="21"/>
          <w:szCs w:val="21"/>
        </w:rPr>
        <w:t xml:space="preserve">4.5  Acesso do paciente e comunicação automática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Definiu-se o modelo de acesso do paciente ao portal de resultados e os disparos automáticos de comunicação. A Cligen forneceu os textos-base das mensagens de envio de credenciais e de laudo disponível. Verificou-se divergência entre a regra de geração de login por CPF e o exemplo de credenciais apresentado, com usuário e senha numéricos, o que originou a ação A1.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acesso do paciente se dará por login gerado a partir do CPF, no portal https://resultados.cligen.com.br. Após a disponibilização do laudo, o sistema disparará automaticamente notificação por e-mail e WhatsApp.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Tentativa de acesso com laudo ainda não disponibilizado exibirá a mensagem: "Seu exame ainda não está liberado. Te comunicaremos quando disponível."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Serão mantidos dois modelos de comunicação de laudo disponível conforme o médico solicitante: o modelo de médico interno inclui convite para agendamento de retorno e menção ao aconselhamento genético; o de médico externo é a versão simplificada.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2F6F8F"/>
          <w:sz w:val="21"/>
          <w:szCs w:val="21"/>
        </w:rPr>
        <w:t xml:space="preserve">4.6  Dashboard gerencial e perfis de acesso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Foi definido o conjunto de indicadores da tela inicial, composto por métricas por período e por filas de trabalho derivadas das etapas do fluxo de laudo. Tratou-se também da segmentação de visualização por perfil de usuário.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D14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dashboard apresentará indicadores por período (destino, exames executados, faturamento, exames para liberar) e o painel de exames em atraso.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D15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dashboard apresentará as filas de trabalho derivadas do fluxo: Aguardando Laudo Parceiro, Aguardando Laudo Cligen e Aguardando envio.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D16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Haverá perfil administrador para a equipe Cligen, com visualização seletiva de telas e campos por perfil de usuário. A tela de login seguirá a identidade visual Cligen.</w:t>
      </w:r>
    </w:p>
    <w:p>
      <w:pPr>
        <w:shd w:fill="EAF1F5" w:color="auto" w:val="clear"/>
        <w:spacing w:after="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0"/>
          <w:szCs w:val="20"/>
        </w:rPr>
        <w:t xml:space="preserve">DECISÃO D17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sistema disparará alarme à equipe para exames próximos do vencimento do prazo de resultado.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2F6F8F"/>
          <w:sz w:val="21"/>
          <w:szCs w:val="21"/>
        </w:rPr>
        <w:t xml:space="preserve">4.7  Conformidade regulatória e segurança da informação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engenharia apresentou três pontos de risco não previstos no escopo discutido, todos com impacto em arquitetura e custo: o enquadramento dos dados de saúde como dados pessoais sensíveis pela LGPD, com a consequente fragilidade de senha derivável de documento público; a exigência de assinatura digital válida para laudos médicos; e o prazo legal de guarda de prontuário. Não houve deliberação, ficando os pontos convertidos em ações para avaliação.</w:t>
      </w:r>
    </w:p>
    <w:p>
      <w:pPr>
        <w:pStyle w:val="Heading1"/>
        <w:pBdr>
          <w:bottom w:val="single" w:color="16425B" w:sz="8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4"/>
          <w:szCs w:val="24"/>
        </w:rPr>
        <w:t xml:space="preserve">5.  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4819"/>
        <w:gridCol w:w="1735"/>
        <w:gridCol w:w="1157"/>
        <w:gridCol w:w="1156"/>
      </w:tblGrid>
      <w:tr>
        <w:trPr>
          <w:tblHeader/>
        </w:trP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shd w:fill="1642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A1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Reconciliar a regra de credenciais (login gerado por CPF versus usuário e senha numéricos do exemplo apresentado) e propor esquema de primeiro acesso com troca obrigatória de senha.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Mateus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Aberta</w:t>
            </w:r>
          </w:p>
        </w:tc>
      </w:tr>
      <w:t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A2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Confirmar a data-base do cálculo da data de liberação do laudo: data de entrada do cadastro ou data de acolhimento da amostra.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Cligen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Aberta</w:t>
            </w:r>
          </w:p>
        </w:tc>
      </w:tr>
      <w:t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A3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Fornecer a lista completa dos aproximadamente 150 exames, com o respectivo prazo em dias para resultado.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Cligen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Aberta</w:t>
            </w:r>
          </w:p>
        </w:tc>
      </w:tr>
      <w:t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A4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Definir se o registro de pagamento será integrado a gateway ou API Pix, ou se ficará restrito ao lançamento manual dos valores recebidos.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Aberta</w:t>
            </w:r>
          </w:p>
        </w:tc>
      </w:tr>
      <w:t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A5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Avaliar a exigência de assinatura digital do laudo (ICP-Brasil e resoluções do CFM) e o respectivo impacto no escopo e no custo do projeto.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Mateus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Aberta</w:t>
            </w:r>
          </w:p>
        </w:tc>
      </w:tr>
      <w:t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A6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Definir política de retenção e arquitetura de armazenamento em nuvem considerando o prazo legal de guarda de prontuário de vinte anos.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Mateus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Aberta</w:t>
            </w:r>
          </w:p>
        </w:tc>
      </w:tr>
      <w:t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A7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Especificar os critérios de classificação de exame em atraso e as regras de disparo do alarme de vencimento de prazo.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Aberta</w:t>
            </w:r>
          </w:p>
        </w:tc>
      </w:tr>
      <w:tr>
        <w:tc>
          <w:tcPr>
            <w:tcW w:type="dxa" w:w="771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A8</w:t>
            </w:r>
          </w:p>
        </w:tc>
        <w:tc>
          <w:tcPr>
            <w:tcW w:type="dxa" w:w="4819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Elaborar protótipo das telas de login, entrada do exame, andamento do laudo e dashboard, com a identidade visual Cligen.</w:t>
            </w:r>
          </w:p>
        </w:tc>
        <w:tc>
          <w:tcPr>
            <w:tcW w:type="dxa" w:w="1735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Mateus</w:t>
            </w:r>
          </w:p>
        </w:tc>
        <w:tc>
          <w:tcPr>
            <w:tcW w:type="dxa" w:w="1157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definir</w:t>
            </w:r>
          </w:p>
        </w:tc>
        <w:tc>
          <w:tcPr>
            <w:tcW w:type="dxa" w:w="1156"/>
            <w:tcBorders>
              <w:top w:val="single" w:color="B9CBD6" w:sz="4"/>
              <w:left w:val="single" w:color="B9CBD6" w:sz="4"/>
              <w:bottom w:val="single" w:color="B9CBD6" w:sz="4"/>
              <w:right w:val="single" w:color="B9CB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Aberta</w:t>
            </w:r>
          </w:p>
        </w:tc>
      </w:tr>
    </w:tbl>
    <w:p>
      <w:pPr>
        <w:pStyle w:val="Heading1"/>
        <w:pBdr>
          <w:bottom w:val="single" w:color="16425B" w:sz="8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4"/>
          <w:szCs w:val="24"/>
        </w:rPr>
        <w:t xml:space="preserve">6.  Informes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portal de consulta de resultados do paciente está previsto no endereço https://resultados.cligen.com.br.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Cligen forneceu os textos-base das mensagens de envio de credenciais e de comunicação de laudo disponível, que serão adotados como referência na implementação.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gravação da reunião capturou apenas o áudio de um dos participantes. O conteúdo desta ata foi complementado pela planilha de requisitos elaborada em conjunto ao final do encontro.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Os campos de participantes e horário desta ata aguardam confirmação para consolidação da versão 1.1.</w:t>
      </w:r>
    </w:p>
    <w:p>
      <w:pPr>
        <w:pStyle w:val="Heading1"/>
        <w:pBdr>
          <w:bottom w:val="single" w:color="16425B" w:sz="8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4"/>
          <w:szCs w:val="24"/>
        </w:rPr>
        <w:t xml:space="preserve">7.  Próxima reunião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definir.</w:t>
      </w:r>
    </w:p>
    <w:p>
      <w:pPr>
        <w:pStyle w:val="Heading1"/>
        <w:pBdr>
          <w:bottom w:val="single" w:color="16425B" w:sz="8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425B"/>
          <w:sz w:val="24"/>
          <w:szCs w:val="24"/>
        </w:rPr>
        <w:t xml:space="preserve">8.  Distribuição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Todos os participantes listados na Seção 2, além da direção clínica da Cligen.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BD6" w:sz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66666"/>
        <w:sz w:val="14"/>
        <w:szCs w:val="14"/>
      </w:rPr>
      <w:t xml:space="preserve">CLG-ATA-2026-001 • Padrão MTS v1 • Página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666666"/>
        <w:sz w:val="14"/>
        <w:szCs w:val="14"/>
      </w:rPr>
      <w:t xml:space="preserve"> de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2026-07-29T23:17:07.288Z</dcterms:created>
  <dcterms:modified xsi:type="dcterms:W3CDTF">2026-07-29T23:17:07.303Z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