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Despachantes e plataformas de autorizacao ANVISA — panorama e recomendacao</w:t>
      </w:r>
    </w:p>
    <w:p>
      <w:pPr>
        <w:spacing w:after="160"/>
        <w:jc w:val="both"/>
      </w:pPr>
      <w:r>
        <w:t xml:space="preserve">Resposta a pergunta: existem apps/servicos de despachantes que automatizam o pedido de autorizacao (RDC 660) e quais servem ao projeto Gota Verde. Pesquisado em 25/08/2026 em fontes publicas; o que nao pode ser confirmado esta marcado como NAO CONFIRMADO. Nenhuma das plataformas abaixo publica API aberta ou intake por email documentado — a integracao, quando existe, e comercial e negociada caso a caso.</w:t>
      </w:r>
    </w:p>
    <w:p>
      <w:pPr>
        <w:pStyle w:val="Heading1"/>
        <w:jc w:val="center"/>
      </w:pPr>
      <w:r>
        <w:rPr>
          <w:b/>
          <w:bCs/>
        </w:rPr>
        <w:t xml:space="preserve">1. Fato central sobre a "automacao"</w:t>
      </w:r>
    </w:p>
    <w:p>
      <w:pPr>
        <w:spacing w:after="160"/>
        <w:jc w:val="both"/>
      </w:pPr>
      <w:r>
        <w:t xml:space="preserve">O proprio fluxo do Gov.br ja e quase instantaneo: seguindo os passos corretos no portal, a autorizacao RDC 660 sai de forma automatica, sem analise humana, em minutos (nos casos limpos; casos com pendencia caem em analise de ate 10 dias uteis). Ou seja: o valor dos "despachantes" nao esta em burlar fila — esta em preencher certo na primeira vez, anexar a receita no formato aceito e acompanhar pendencias. E exatamente o que o nosso wizard /api/autorizacao + despachante humano ja faz.</w:t>
      </w:r>
    </w:p>
    <w:p>
      <w:pPr>
        <w:pStyle w:val="Heading1"/>
        <w:jc w:val="center"/>
      </w:pPr>
      <w:r>
        <w:rPr>
          <w:b/>
          <w:bCs/>
        </w:rPr>
        <w:t xml:space="preserve">2. Quem existe no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Servico</w:t>
            </w:r>
          </w:p>
        </w:tc>
        <w:tc>
          <w:tcPr>
            <w:tcW w:type="dxa" w:w="2340"/>
          </w:tcPr>
          <w:p>
            <w:r>
              <w:rPr>
                <w:b/>
                <w:bCs/>
              </w:rPr>
              <w:t xml:space="preserve">Modelo</w:t>
            </w:r>
          </w:p>
        </w:tc>
        <w:tc>
          <w:tcPr>
            <w:tcW w:type="dxa" w:w="2340"/>
          </w:tcPr>
          <w:p>
            <w:r>
              <w:rPr>
                <w:b/>
                <w:bCs/>
              </w:rPr>
              <w:t xml:space="preserve">O que faz</w:t>
            </w:r>
          </w:p>
        </w:tc>
        <w:tc>
          <w:tcPr>
            <w:tcW w:type="dxa" w:w="2340"/>
          </w:tcPr>
          <w:p>
            <w:r>
              <w:rPr>
                <w:b/>
                <w:bCs/>
              </w:rPr>
              <w:t xml:space="preserve">Relevancia para o projeto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Blis (appblis.com.br)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App B2C, criado por pacientes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Consulta por chat, receita digital, autorizacao ANVISA "automatica" em minutos, importacao e entrega; 500 mil+ downloads, 1.800+ cidades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Benchmark de UX do nosso app; concorrente direto no B2C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Cannect (cannect.life)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Healthtech B2C/B2B2C, 100 mil+ pacientes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Jornada completa: consulta, indicacao de produto, autorizacao de importacao; absorveu a Dr. Cannabis (educacao medica, 12 mil+ medicos)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Benchmark de escala; possivel canal de medicos prescritores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CannaCare (cannacare.com.br)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Parceiro operacional do MEDICO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Assume o pos-prescricao: autorizacao ANVISA, importacao, entrega e acompanhamento do paciente do medico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Modelo mais proximo do nosso: e um "despachante white label" para consultorios. Candidato a parceria ou referencia de proposta comercial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Cannalink (cannalink.com.br)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Assessoria de importacao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Assessoria a pacientes no processo de importacao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NAO CONFIRMADO em detalhe (site bloqueado na sessao); verificar antes de contactar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CANNAID (cannaid.app)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App de acesso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Jornada de acesso a cannabis medicinal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NAO CONFIRMADO em detalhe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SouCannabis (ONG)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Associacao com tutorial publico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Publica passo a passo gratuito do pedido no Gov.br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Referencia de conteudo educativo para nossa area do paciente</w:t>
            </w:r>
          </w:p>
        </w:tc>
      </w:tr>
    </w:tbl>
    <w:p/>
    <w:p>
      <w:pPr>
        <w:spacing w:after="160"/>
        <w:jc w:val="both"/>
      </w:pPr>
      <w:r>
        <w:t xml:space="preserve">Sobre "API de despachante": nenhum dos servicos acima publica API publica ou endereco de intake por email documentado. A automacao que anunciam e interna (robotizacao do proprio fluxo deles ou operacao humana rapida). Integracao com terceiros existe apenas como parceria comercial negociada. UNKNOWN: termos e precos de parceria — so se descobrem em contato comercial direto.</w:t>
      </w:r>
    </w:p>
    <w:p>
      <w:pPr>
        <w:pStyle w:val="Heading1"/>
        <w:jc w:val="center"/>
      </w:pPr>
      <w:r>
        <w:rPr>
          <w:b/>
          <w:bCs/>
        </w:rPr>
        <w:t xml:space="preserve">3. Recomendacao para a Gota Verde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Nao terceirizar o intake: o wizard proprio (site + app) ja coleta e formata tudo; terceirizar entregaria o relacionamento com o paciente ao concorrente.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Despachante humano proprio com procuracao continua sendo o motor: com o pacote formatado, o protocolo no Gov.br leva minutos e a autorizacao dos casos limpos sai quase na hora.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Parceria a explorar (nessa ordem): CannaCare (modelo operacional compativel, serve medicos que ja prescrevem — pode operar a logistica dos nossos pacientes no inicio); Cannect/Dr. Cannabis (canal de recrutamento de medicos treinados); Blis apenas como benchmark — e concorrente, nao parceiro.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Nunca robotizar o login Gov.br do paciente: viola os termos do portal e usa credencial alheia. A linha ja tracada permanece.</w:t>
      </w:r>
    </w:p>
    <w:p>
      <w:pPr>
        <w:pStyle w:val="Heading1"/>
        <w:jc w:val="center"/>
      </w:pPr>
      <w:r>
        <w:rPr>
          <w:b/>
          <w:bCs/>
        </w:rPr>
        <w:t xml:space="preserve">4. O novo marco de 2026 muda o tabuleiro</w:t>
      </w:r>
    </w:p>
    <w:p>
      <w:pPr>
        <w:spacing w:after="160"/>
        <w:jc w:val="both"/>
      </w:pPr>
      <w:r>
        <w:t xml:space="preserve">Entre 30/01 e 03/02/2026 a ANVISA publicou as RDCs 1.011 a 1.015/2026, em vigor desde 04/08/2026:</w:t>
      </w:r>
    </w:p>
    <w:p>
      <w:pPr>
        <w:pStyle w:val="ListParagraph"/>
        <w:numPr>
          <w:ilvl w:val="0"/>
          <w:numId w:val="1"/>
        </w:numPr>
      </w:pPr>
      <w:r>
        <w:t xml:space="preserve">RDC 1.012 — pesquisa cientifica com cannabis (universidades, ICTs e industria, com Autorizacao Especial e requisitos de seguranca).</w:t>
      </w:r>
    </w:p>
    <w:p>
      <w:pPr>
        <w:pStyle w:val="ListParagraph"/>
        <w:numPr>
          <w:ilvl w:val="0"/>
          <w:numId w:val="1"/>
        </w:numPr>
      </w:pPr>
      <w:r>
        <w:t xml:space="preserve">RDC 1.013 — cultivo nacional de Cannabis sativa (THC ate 0,3%) por EMPRESAS para fins medicinais, com AE.</w:t>
      </w:r>
    </w:p>
    <w:p>
      <w:pPr>
        <w:pStyle w:val="ListParagraph"/>
        <w:numPr>
          <w:ilvl w:val="0"/>
          <w:numId w:val="1"/>
        </w:numPr>
      </w:pPr>
      <w:r>
        <w:t xml:space="preserve">RDC 1.014 — Sandbox Regulatorio EXCLUSIVO para associacoes de pacientes sem fins lucrativos: ambiente experimental de ate 5 anos, sob supervisao direta da ANVISA, sem comercializacao. Requisito de corte: pessoa juridica constituida ha no minimo 2 anos na data da publicacao da RDC. A entrada depende de edital de chamamento publico aprovado pela Diretoria Colegiada — ainda nao publicado ate 25/08/2026.</w:t>
      </w:r>
    </w:p>
    <w:p>
      <w:pPr>
        <w:spacing w:after="160"/>
        <w:jc w:val="both"/>
      </w:pPr>
      <w:r>
        <w:t xml:space="preserve">Consequencias para o roadmap:</w:t>
      </w:r>
    </w:p>
    <w:p>
      <w:pPr>
        <w:pStyle w:val="ListParagraph"/>
        <w:numPr>
          <w:ilvl w:val="0"/>
          <w:numId w:val="1"/>
        </w:numPr>
      </w:pPr>
      <w:r>
        <w:t xml:space="preserve">A associacao Gota Verde, fundada agora, NAO alcanca o requisito de 2 anos deste primeiro sandbox. O HC preventivo continua sendo a via de cultivo realista no horizonte de 1 a 2 anos — e o historico RDC 660 continua sendo o combustivel do HC.</w:t>
      </w:r>
    </w:p>
    <w:p>
      <w:pPr>
        <w:pStyle w:val="ListParagraph"/>
        <w:numPr>
          <w:ilvl w:val="0"/>
          <w:numId w:val="1"/>
        </w:numPr>
      </w:pPr>
      <w:r>
        <w:t xml:space="preserve">Monitorar o edital do sandbox e cada novo chamamento: um segundo ciclo pode ter corte diferente, e a associacao deve nascer ja com a papelada no formato que o edital pedir (mais um argumento para a trilha de evidencia auditavel).</w:t>
      </w:r>
    </w:p>
    <w:p>
      <w:pPr>
        <w:pStyle w:val="ListParagraph"/>
        <w:numPr>
          <w:ilvl w:val="0"/>
          <w:numId w:val="1"/>
        </w:numPr>
      </w:pPr>
      <w:r>
        <w:t xml:space="preserve">A RDC 1.013 abre, em paralelo, a via EMPRESARIAL de cultivo nacional — relevante para a fase comercial do grupo (empresa, nao associacao), com custo regulatorio de industria farmaceutica.</w:t>
      </w:r>
    </w:p>
    <w:p>
      <w:pPr>
        <w:pStyle w:val="Heading1"/>
        <w:jc w:val="center"/>
      </w:pPr>
      <w:r>
        <w:rPr>
          <w:b/>
          <w:bCs/>
        </w:rPr>
        <w:t xml:space="preserve">5. Fontes</w:t>
      </w:r>
    </w:p>
    <w:p>
      <w:pPr>
        <w:pStyle w:val="ListParagraph"/>
        <w:numPr>
          <w:ilvl w:val="0"/>
          <w:numId w:val="1"/>
        </w:numPr>
      </w:pPr>
      <w:r>
        <w:t xml:space="preserve">Gov.br — servico "Solicitar autorizacao para importacao de produtos derivados de Cannabis" (gov.br/pt-br/servicos/...)</w:t>
      </w:r>
    </w:p>
    <w:p>
      <w:pPr>
        <w:pStyle w:val="ListParagraph"/>
        <w:numPr>
          <w:ilvl w:val="0"/>
          <w:numId w:val="1"/>
        </w:numPr>
      </w:pPr>
      <w:r>
        <w:t xml:space="preserve">Medicina S/A — novo marco regulatorio da ANVISA (medicinasa.com.br)</w:t>
      </w:r>
    </w:p>
    <w:p>
      <w:pPr>
        <w:pStyle w:val="ListParagraph"/>
        <w:numPr>
          <w:ilvl w:val="0"/>
          <w:numId w:val="1"/>
        </w:numPr>
      </w:pPr>
      <w:r>
        <w:t xml:space="preserve">RDC 1.014/2026 no Datalegis (anvisalegis.datalegis.net)</w:t>
      </w:r>
    </w:p>
    <w:p>
      <w:pPr>
        <w:pStyle w:val="ListParagraph"/>
        <w:numPr>
          <w:ilvl w:val="0"/>
          <w:numId w:val="1"/>
        </w:numPr>
      </w:pPr>
      <w:r>
        <w:t xml:space="preserve">APEPI — noticia sobre a RDC das associacoes (apepi.org)</w:t>
      </w:r>
    </w:p>
    <w:p>
      <w:pPr>
        <w:pStyle w:val="ListParagraph"/>
        <w:numPr>
          <w:ilvl w:val="0"/>
          <w:numId w:val="1"/>
        </w:numPr>
      </w:pPr>
      <w:r>
        <w:t xml:space="preserve">Sites das plataformas: appblis.com.br, cannacare.com.br, cannalink.com.br, cannaid.app, soucannabis.ong.br</w:t>
      </w:r>
    </w:p>
    <w:p>
      <w:pPr>
        <w:pStyle w:val="ListParagraph"/>
        <w:numPr>
          <w:ilvl w:val="0"/>
          <w:numId w:val="1"/>
        </w:numPr>
      </w:pPr>
      <w:r>
        <w:t xml:space="preserve">Sinteses de mercado: fitocanabica.com.br, smokebuddies.com.br, vitapharmaconsulting.com</w:t>
      </w:r>
    </w:p>
    <w:p>
      <w:pPr>
        <w:spacing w:after="160"/>
        <w:jc w:val="both"/>
      </w:pPr>
      <w:r>
        <w:t xml:space="preserve">Nota de auditoria: cannalink.com.br, cannaid.app e cannabisesaude.com.br estavam inacessiveis pela rede desta sessao; os dados dessas fontes vem de resultados de busca e devem ser reconferidos antes de qualquer contato comercial.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2026-08-25T15:28:14.953Z</dcterms:created>
  <dcterms:modified xsi:type="dcterms:W3CDTF">2026-08-25T15:28:14.970Z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