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Consultar a lista de pedidos a serem entregues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Registrar a entrega de um pedido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Enviar um e-mail para o cliente quando o pedido for entregue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Fronteiras de análise são as seguintes: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6"/>
          <w:szCs w:val="26"/>
          <w:rtl w:val="0"/>
        </w:rPr>
        <w:t xml:space="preserve">• </w:t>
      </w:r>
      <w:r w:rsidDel="00000000" w:rsidR="00000000" w:rsidRPr="00000000">
        <w:rPr>
          <w:rtl w:val="0"/>
        </w:rPr>
        <w:t xml:space="preserve">O entregador consulta a lista de pedidos a serem entregues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O entregador registra a entrega de um pedido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O sistema acessa o servidor de e-mails.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Informações sobre a entrega: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Identificação do pedido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CPF da pessoa que recebeu o pedido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Data e hora da entrega do pedido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Partes envolvidas: Entregador, receptor, loja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Sistema pré-existente: servidor de e-mails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Detalhamento do processo de negócio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1: Caso de uso de entrega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Identificar as operações candidatas dos serviços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1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Abstração de lógica de orquestração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96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Serviços candidatos e seus contextos lógicos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Gestão de entregadores: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Identifica entregador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Pedidos: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pedidos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Entrega: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pedido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entrega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Notificação: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Acessa servidor de e-mail (legado)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Envia confirmação de entrega do pedido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5- Aplicar os princípios de orientação a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Pedido: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Busca e apresenta pedidos, identificando o entregador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6"/>
          <w:szCs w:val="26"/>
          <w:rtl w:val="0"/>
        </w:rPr>
        <w:t xml:space="preserve">Registra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Registra entrega com dados do receptor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6"/>
          <w:szCs w:val="26"/>
          <w:rtl w:val="0"/>
        </w:rPr>
        <w:t xml:space="preserve">Notificação: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Envia confirmação de entrega do pedido ao cliente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6- Identificar a composição de serviços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A composição de serviços segue os grupos do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28"/>
          <w:szCs w:val="28"/>
          <w:rtl w:val="0"/>
        </w:rPr>
        <w:t xml:space="preserve">7- Revisar os agrupamentos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Não houve mudança nos agrupamentos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sz w:val="28"/>
          <w:szCs w:val="28"/>
          <w:rtl w:val="0"/>
        </w:rPr>
        <w:t xml:space="preserve">8- Revisar os requisitos de processamento dos serviços candidatos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Orientado a Serviços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Definição das camadas de serviços e os padrões de especificação e implementação.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Camadas de serviço: Task, Entity e Utility.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Padrões de implementação: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2- Definir os serviços de entidades com operações CRUD: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Pedidos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3- Definir os serviços de utilidade: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Notificação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4- Definir os serviços de tarefa: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Entrega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 O projeto abstraído através do mapeamento onde cada serviço será utilizado no processo de negócio.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249101</wp:posOffset>
            </wp:positionV>
            <wp:extent cx="3081338" cy="4355653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355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