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KPI 02 — Renda Mediana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Definição: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alor que divide a população analisada em duas partes iguais em relação à renda, representando melhor a condição econômica típica do município do que a média.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Por que utilizar?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renda mediana permite avaliar a capacidade econômica típica da população do município sem sofrer a mesma influência de valores extremos que uma média pode sofrer. Dessa forma, ajuda a identificar municípios onde a população possui maior capacidade econômica potencial para consumir materiais de construção. O indicador será analisado somente no município avaliado. Posteriormente, poderá ser criada uma análise complementar considerando a zona de influência de até 20 km, sem substituir o indicador municipal.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Fórmula do indicador bruto: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Renda Mediana = valor central da distribuição de renda da população analisada.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Tratamento futuro: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Será transformada em Score 0–100 antes da aplicação do peso definido para o nível de Poder de Compra.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Direção: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Quanto maior, maior o potencial econômico.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Fonte: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IBGE Censo Demográfico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Período: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Granularidade: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Município.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KPI 03 — Taxa de Ocupação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Definição: </w:t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roporção da população em idade de trabalhar que está ocupada no município analisado.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Por que utilizar?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renda mediana indica a condição econômica típica da população, mas não mostra sozinha a participação da população no mercado de trabalho. A taxa de ocupação complementa essa análise ao indicar a proporção da população em idade de trabalhar que efetivamente está ocupada, contribuindo para uma avaliação mais consistente da capacidade econômica da região. O indicador também ajuda a diferenciar municípios que possuem renda mediana semelhante, mas apresentam estruturas de participação no mercado de trabalho diferentes.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Fórmula do indicador bruto: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Taxa de Ocupação = (População Ocupada / População em Idade de Trabalhar) × 100.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Tratamento futuro: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Será transformada em Score 0–100 antes da aplicação do peso definido para o nível de Poder de Compra.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Direção: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Quanto maior, maior a participação da população no mercado de trabalho e, potencialmente, maior a capacidade econômica ativa.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Fonte: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IBGE Censo Demográfico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Período: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Granularidade: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Município.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Observação: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Não será utilizado inicialmente o tipo de vínculo profissional, como CLT ou PJ, como KPI. O foco será a participação da população no mercado de trabalho.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KPI 04 — População em Idade Ativa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Definição: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roporção da população do município que se encontra na faixa etária considerada potencialmente ativa para participação no mercado de trabalho.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Por que utilizar?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estrutura etária ajuda a compreender o perfil demográfico do mercado consumidor. Uma maior concentração de pessoas em idade potencialmente ativa pode representar uma estrutura demográfica mais associada à geração de renda e à formação de novos domicílios. Entretanto, o indicador não será interpretado como uma medida direta de compradores, pois idade, isoladamente, não determina o comportamento de consumo de materiais de construção.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Fórmula do indicador bruto: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Roboto" w:cs="Roboto" w:eastAsia="Roboto" w:hAnsi="Roboto"/>
          <w:i w:val="1"/>
          <w:i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6"/>
          <w:szCs w:val="26"/>
          <w:rtl w:val="0"/>
        </w:rPr>
        <w:t xml:space="preserve">População em Idade Ativa = (População em idade ativa / População total) × 100.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Tratamento futuro: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Será transformada em Score 0–100, caso seja validada como KPI definitivo para o nível de Poder de Compra.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Direção: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Quanto maior a proporção de população em idade ativa, maior o potencial demográfico associado à geração de renda.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Fonte: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IBGE Censo Demográfico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Período: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Granularidade: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Município.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KPI 05 — Razão de Dependência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Definição: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elação entre a população considerada potencialmente dependente e a população em idade potencialmente ativa do município.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Por que utilizar?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razão de dependência permite complementar a análise da estrutura etária. Uma população com elevada proporção de crianças e idosos pode apresentar uma relação diferente entre população potencialmente ativa e dependente. O indicador será utilizado como variável demográfica de contexto, e sua inclusão definitiva no Score dependerá da avaliação de sua relevância e disponibilidade.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Fórmula do indicador bruto: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Razão de Dependência = (População Dependente / População em Idade Ativa) × 100.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Tratamento futuro: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Caso seja incorporada ao modelo, será transformada em Score 0–100, considerando que sua interpretação será inversa em relação aos indicadores em que “maior é melhor”.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Direção: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Quanto menor a razão de dependência, maior a proporção relativa de população potencialmente ativa.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Fonte: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IBGE Censo Demográfico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Período: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Granularidade: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Município.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KPI 06 — Crescimento de Domicílios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Definição: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ariação percentual da quantidade de domicílios existentes no município entre dois períodos analisados.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Por que utilizar?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 crescimento de domicílios representa uma expansão mais diretamente relacionada ao mercado de materiais de construção do que o simples crescimento populacional. Novos domicílios podem representar novas necessidades de construção, instalação, reforma, acabamento e manutenção. Esse indicador complementará a quantidade absoluta de domicílios utilizada no nível Mercado, permitindo diferenciar o tamanho atual do mercado de sua expansão ao longo do tempo.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Fórmula do indicador bruto: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sz w:val="28"/>
          <w:szCs w:val="28"/>
          <w:rtl w:val="0"/>
        </w:rPr>
        <w:t xml:space="preserve">Crescimento de Domicílios = ((Domicílios_t − Domicílios_t−1) / Domicílios_t−1) × 100.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Tratamento futuro: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Será transformado em Score 0–100 antes da aplicação do peso definido para o nível de Crescimento.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Direção: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Quanto maior o crescimento, maior o potencial de expansão do mercado residencial.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Fonte: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IBGE Censo Demográfico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Período: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1980-2022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Granularidade: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Município.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KPI 07 — Intensidade de Novas Construções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Definição: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rtl w:val="0"/>
        </w:rPr>
        <w:t xml:space="preserve">Indicador destinado a representar a intensidade da atividade de novas construções no município analisado através da movimentação formal de trabalhadores do setor.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Por que utilizar?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rtl w:val="0"/>
        </w:rPr>
        <w:t xml:space="preserve">Esse indicador busca aproximar o modelo da demanda efetiva do setor de materiais de construção. Enquanto o número e o crescimento de domicílios demonstram o tamanho do mercado instalado e a expansão residencial, a atividade de novas construções procura identificar se existe efetivamente um movimento construtivo em tempo real capaz de gerar demanda imediata B2B e B2C por materiais. A utilização do saldo de empregos na Construção Civil funciona como um termômetro direto, pois canteiros de obras ativos e a verticalização exigem contratação contínua de mão de obra formal no momento presente.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Fórmula do indicador bruto: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Roboto" w:cs="Roboto" w:eastAsia="Roboto" w:hAnsi="Roboto"/>
          <w:color w:val="1f1f1f"/>
          <w:sz w:val="28"/>
          <w:szCs w:val="28"/>
        </w:rPr>
      </w:pPr>
      <m:oMath>
        <m:r>
          <w:rPr>
            <w:rFonts w:ascii="Roboto" w:cs="Roboto" w:eastAsia="Roboto" w:hAnsi="Roboto"/>
            <w:color w:val="1f1f1f"/>
            <w:sz w:val="28"/>
            <w:szCs w:val="28"/>
          </w:rPr>
          <m:t xml:space="preserve">SaldodaConstruçãoCivil=</m:t>
        </m:r>
        <m:nary>
          <m:naryPr>
            <m:chr m:val="∑"/>
            <m:ctrlPr>
              <w:rPr>
                <w:rFonts w:ascii="Roboto" w:cs="Roboto" w:eastAsia="Roboto" w:hAnsi="Roboto"/>
                <w:color w:val="1f1f1f"/>
                <w:sz w:val="28"/>
                <w:szCs w:val="28"/>
              </w:rPr>
            </m:ctrlPr>
          </m:naryPr>
          <m:sub/>
          <m:sup/>
        </m:nary>
        <m:r>
          <w:rPr>
            <w:rFonts w:ascii="Roboto" w:cs="Roboto" w:eastAsia="Roboto" w:hAnsi="Roboto"/>
            <w:color w:val="1f1f1f"/>
            <w:sz w:val="28"/>
            <w:szCs w:val="28"/>
          </w:rPr>
          <m:t xml:space="preserve">(AdmissõesFormais)-</m:t>
        </m:r>
        <m:nary>
          <m:naryPr>
            <m:chr m:val="∑"/>
            <m:ctrlPr>
              <w:rPr>
                <w:rFonts w:ascii="Roboto" w:cs="Roboto" w:eastAsia="Roboto" w:hAnsi="Roboto"/>
                <w:color w:val="1f1f1f"/>
                <w:sz w:val="28"/>
                <w:szCs w:val="28"/>
              </w:rPr>
            </m:ctrlPr>
          </m:naryPr>
          <m:sub/>
          <m:sup/>
        </m:nary>
        <m:r>
          <w:rPr>
            <w:rFonts w:ascii="Roboto" w:cs="Roboto" w:eastAsia="Roboto" w:hAnsi="Roboto"/>
            <w:color w:val="1f1f1f"/>
            <w:sz w:val="28"/>
            <w:szCs w:val="28"/>
          </w:rPr>
          <m:t xml:space="preserve">(DesligamentosFormais)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Roboto" w:cs="Roboto" w:eastAsia="Roboto" w:hAnsi="Roboto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8"/>
          <w:szCs w:val="28"/>
          <w:rtl w:val="0"/>
        </w:rPr>
        <w:t xml:space="preserve">(Filtro: Seção F da CNAE 2.0 no período acumulado de meses disponiveis nos municípios em geral).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Tratamento futuro: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rtl w:val="0"/>
        </w:rPr>
        <w:t xml:space="preserve">Será transformado em Score 0–100 via Normalização Min-Max para cada município antes da aplicação do peso definido para o pilar de Crescimento: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Roboto" w:cs="Roboto" w:eastAsia="Roboto" w:hAnsi="Roboto"/>
          <w:color w:val="1f1f1f"/>
          <w:sz w:val="28"/>
          <w:szCs w:val="28"/>
        </w:rPr>
      </w:pPr>
      <m:oMath>
        <m:r>
          <w:rPr>
            <w:rFonts w:ascii="Roboto" w:cs="Roboto" w:eastAsia="Roboto" w:hAnsi="Roboto"/>
            <w:color w:val="1f1f1f"/>
            <w:sz w:val="28"/>
            <w:szCs w:val="28"/>
          </w:rPr>
          <m:t xml:space="preserve">Scor</m:t>
        </m:r>
        <m:sSub>
          <m:sSubPr>
            <m:ctrlPr>
              <w:rPr>
                <w:rFonts w:ascii="Roboto" w:cs="Roboto" w:eastAsia="Roboto" w:hAnsi="Roboto"/>
                <w:color w:val="1f1f1f"/>
                <w:sz w:val="28"/>
                <w:szCs w:val="28"/>
              </w:rPr>
            </m:ctrlPr>
          </m:sSubPr>
          <m:e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e</m:t>
            </m:r>
          </m:e>
          <m:sub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KPI07</m:t>
            </m:r>
          </m:sub>
        </m:sSub>
        <m:r>
          <w:rPr>
            <w:rFonts w:ascii="Roboto" w:cs="Roboto" w:eastAsia="Roboto" w:hAnsi="Roboto"/>
            <w:color w:val="1f1f1f"/>
            <w:sz w:val="28"/>
            <w:szCs w:val="28"/>
          </w:rPr>
          <m:t xml:space="preserve">=</m:t>
        </m:r>
        <m:f>
          <m:fPr>
            <m:ctrlPr>
              <w:rPr>
                <w:rFonts w:ascii="Roboto" w:cs="Roboto" w:eastAsia="Roboto" w:hAnsi="Roboto"/>
                <w:color w:val="1f1f1f"/>
                <w:sz w:val="28"/>
                <w:szCs w:val="28"/>
              </w:rPr>
            </m:ctrlPr>
          </m:fPr>
          <m:num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Sald</m:t>
            </m:r>
            <m:sSub>
              <m:sSubPr>
                <m:ctrlP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</m:ctrlPr>
              </m:sSubPr>
              <m:e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o</m:t>
                </m:r>
              </m:e>
              <m:sub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Município</m:t>
                </m:r>
              </m:sub>
            </m:sSub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-</m:t>
            </m:r>
            <m:limLow>
              <m:limLowPr>
                <m:ctrlP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</m:ctrlPr>
              </m:limLowPr>
              <m:e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>min</m:t>
                </m:r>
              </m:e>
              <m:lim/>
            </m:limLow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(Saldo</m:t>
            </m:r>
            <m:sSub>
              <m:sSubPr>
                <m:ctrlP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</m:ctrlPr>
              </m:sSubPr>
              <m:e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s</m:t>
                </m:r>
              </m:e>
              <m:sub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SC</m:t>
                </m:r>
              </m:sub>
            </m:sSub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)</m:t>
            </m:r>
          </m:num>
          <m:den>
            <m:limLow>
              <m:limLowPr>
                <m:ctrlP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</m:ctrlPr>
              </m:limLowPr>
              <m:e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>max</m:t>
                </m:r>
              </m:e>
              <m:lim/>
            </m:limLow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(Saldo</m:t>
            </m:r>
            <m:sSub>
              <m:sSubPr>
                <m:ctrlP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</m:ctrlPr>
              </m:sSubPr>
              <m:e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s</m:t>
                </m:r>
              </m:e>
              <m:sub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SC</m:t>
                </m:r>
              </m:sub>
            </m:sSub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)-</m:t>
            </m:r>
            <m:limLow>
              <m:limLowPr>
                <m:ctrlP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</m:ctrlPr>
              </m:limLowPr>
              <m:e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>min</m:t>
                </m:r>
              </m:e>
              <m:lim/>
            </m:limLow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(Saldo</m:t>
            </m:r>
            <m:sSub>
              <m:sSubPr>
                <m:ctrlP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</m:ctrlPr>
              </m:sSubPr>
              <m:e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s</m:t>
                </m:r>
              </m:e>
              <m:sub>
                <m:r>
                  <w:rPr>
                    <w:rFonts w:ascii="Roboto" w:cs="Roboto" w:eastAsia="Roboto" w:hAnsi="Roboto"/>
                    <w:color w:val="1f1f1f"/>
                    <w:sz w:val="28"/>
                    <w:szCs w:val="28"/>
                  </w:rPr>
                  <m:t xml:space="preserve">SC</m:t>
                </m:r>
              </m:sub>
            </m:sSub>
            <m:r>
              <w:rPr>
                <w:rFonts w:ascii="Roboto" w:cs="Roboto" w:eastAsia="Roboto" w:hAnsi="Roboto"/>
                <w:color w:val="1f1f1f"/>
                <w:sz w:val="28"/>
                <w:szCs w:val="28"/>
              </w:rPr>
              <m:t xml:space="preserve">)</m:t>
            </m:r>
          </m:den>
        </m:f>
        <m:r>
          <w:rPr>
            <w:rFonts w:ascii="Roboto" w:cs="Roboto" w:eastAsia="Roboto" w:hAnsi="Roboto"/>
            <w:color w:val="1f1f1f"/>
            <w:sz w:val="28"/>
            <w:szCs w:val="28"/>
          </w:rPr>
          <m:t>×</m:t>
        </m:r>
        <m:r>
          <w:rPr>
            <w:rFonts w:ascii="Roboto" w:cs="Roboto" w:eastAsia="Roboto" w:hAnsi="Roboto"/>
            <w:color w:val="1f1f1f"/>
            <w:sz w:val="28"/>
            <w:szCs w:val="28"/>
          </w:rPr>
          <m:t xml:space="preserve">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Direção: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rtl w:val="0"/>
        </w:rPr>
        <w:t xml:space="preserve"> Quanto maior o saldo positivo de empregos/movimentações no setor de construção, maior o dinamismo imobiliário e maior a potencial demanda por materiais de construção.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Fonte: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rtl w:val="0"/>
        </w:rPr>
        <w:t xml:space="preserve"> Ministério do Trabalho e Emprego (MTE) / PDET — Microdados do Novo CAGED (Seção F da CNAE — Construção Civil).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Período: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rtl w:val="0"/>
        </w:rPr>
        <w:t xml:space="preserve"> Acumulado dos últimos 12 meses.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1f1f1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rtl w:val="0"/>
        </w:rPr>
        <w:t xml:space="preserve">Granularidade:</w:t>
      </w:r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rtl w:val="0"/>
        </w:rPr>
        <w:t xml:space="preserve"> Município.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Style w:val="Title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200" w:lineRule="auto"/>
      <w:jc w:val="center"/>
      <w:rPr>
        <w:rFonts w:ascii="Roboto" w:cs="Roboto" w:eastAsia="Roboto" w:hAnsi="Roboto"/>
        <w:sz w:val="46"/>
        <w:szCs w:val="46"/>
      </w:rPr>
    </w:pPr>
    <w:bookmarkStart w:colFirst="0" w:colLast="0" w:name="_47w8ik5cbyu9" w:id="0"/>
    <w:bookmarkEnd w:id="0"/>
    <w:r w:rsidDel="00000000" w:rsidR="00000000" w:rsidRPr="00000000">
      <w:rPr>
        <w:rFonts w:ascii="Roboto" w:cs="Roboto" w:eastAsia="Roboto" w:hAnsi="Roboto"/>
        <w:sz w:val="46"/>
        <w:szCs w:val="46"/>
        <w:rtl w:val="0"/>
      </w:rPr>
      <w:t xml:space="preserve">KPIs — Poder de Compra e Crescimento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