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qlszar3zqn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KPI 01 — População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Definição: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Quantidade de habitantes do município analisado.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 que utilizar?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população representa o tamanho potencial do mercado consumidor. Entretanto, não será tratada como quantidade equivalente de clientes, porque vários indivíduos podem pertencer ao mesmo domicílio e compartilhar decisões de compra.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Fórmula do indicador bruto: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População = quantidade de habitantes do município analisado.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Tratamento futuro: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Será transformada em Score 0–100 antes da aplicação do peso de 40%.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Direção: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Quanto maior, maior o potencial.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Fonte: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IBGE Censo Demográfico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2022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Granularidade: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Município.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8vpmbcctce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KPI 02 — Domicílios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Definição: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Quantidade de domicílios existentes no município.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 que utilizar?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filial comercializa materiais de construção e manutenção. O domicílio representa uma unidade física que pode demandar produtos independentemente da quantidade de moradores.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Isso fundamenta a decisão de dar: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60% de peso dentro do mercado residencial.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Fórmula do indicador bruto: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Domicílios = quantidade de domicílios existentes no município.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Tratamento futuro: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Será transformado em Score 0–100 antes da aplicação do peso definido para o mercado residencial.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Direção: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Quanto maior, maior o potencial.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Fonte: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IBGE Censo Demográfico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2022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Granularidade: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Município.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k739c2wndbt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KPI 03 — Empresas, Varejistas e Especialistas em Construção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Definição: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Quantidade de empresas classificadas em atividades econômicas relacionadas à construção no município.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 que utilizar?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Representa uma parcela importante do mercado profissional da filial, permitindo estimar o potencial de demanda proveniente de empresas e profissionais ligados ao setor da construção.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Tipo: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porque o número de empresas não representa diretamente faturamento ou volume de compras.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Tratamento futuro: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classificação econômica das empresas deverá ser definida posteriormente.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Direção: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Quanto maior, maior o potencial.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Fonte: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Cadastro Central de Empresas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Classificação econômica: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Empresas especializadas em vendas atacado e varejo de materiais de construção.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2021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Granularidade: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Município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>
        <w:rFonts w:ascii="Roboto" w:cs="Roboto" w:eastAsia="Roboto" w:hAnsi="Roboto"/>
        <w:sz w:val="48"/>
        <w:szCs w:val="48"/>
      </w:rPr>
    </w:pPr>
    <w:r w:rsidDel="00000000" w:rsidR="00000000" w:rsidRPr="00000000">
      <w:rPr>
        <w:rFonts w:ascii="Roboto" w:cs="Roboto" w:eastAsia="Roboto" w:hAnsi="Roboto"/>
        <w:sz w:val="48"/>
        <w:szCs w:val="48"/>
        <w:rtl w:val="0"/>
      </w:rPr>
      <w:t xml:space="preserve">KPIs - Mercado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