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69" w:lineRule="auto"/>
      </w:pPr>
      <w:r>
        <w:rPr>
          <w:rFonts w:ascii="Calibri" w:hAnsi="Calibri" w:eastAsia="Microsoft YaHei"/>
          <w:b/>
          <w:color w:val="606C7A"/>
          <w:sz w:val="22"/>
        </w:rPr>
        <w:t>项目实施方案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46"/>
        </w:rPr>
        <w:t>北京公交集团票务综合管理平台系统升级</w:t>
      </w:r>
    </w:p>
    <w:p>
      <w:pPr>
        <w:spacing w:after="280"/>
      </w:pPr>
      <w:r>
        <w:rPr>
          <w:rFonts w:ascii="Calibri" w:hAnsi="Calibri" w:eastAsia="Microsoft YaHei"/>
          <w:color w:val="606C7A"/>
          <w:sz w:val="30"/>
        </w:rPr>
        <w:t>SDD 实施方案与工作量清单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文档用途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用于项目立项、排期、报价拆分、研发组织和验收范围确认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文档版本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编制日期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2026-05-08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编制人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项目经理 / 解决方案团队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审核人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架构师 / 技术负责人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变更记录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v0.9 初稿；v1.0 修订工作量护栏、删除项口径、外部接口区间、报表整合、部署运维披露、目标环境矩阵和 SDD 术语展开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需求来源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北京公交集团票务综合管理平台系统升级需求分析说明书（初稿0506）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估算口径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包含需求深化、设计、开发、自测、联调、迁移、测试配合和上线支持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简要结论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本项目按当前修订口径约 102 个工作条目，正常工作量约 713-1536 人日。SDD 对常规页面、脚手架、测试样例、文档和部分接口适配按 60% 以上提效目标组织；但核心业务、外部对接、报表口径、数据迁移和上线割接设置最低保护工时，因此全口径协同后工作量约 389-772 人日。该口径要求需求冻结、接口材料同步到位、自动化测试和人工评审强约束。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一、简要评估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3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建议口径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功能规模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102 个功能项，覆盖原需求 14 个一级模块，并补充外部系统对接、数据湖接口和待定事项工作量。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传统开发团队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10-12 人，8-10 个月完成；包含产品、前端、后端、数据迁移、测试、实施。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SDD 激进团队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人，4-5 个月完成；前提是需求冻结、接口材料及时、测试自动化、代码评审、业务验收和并行联调节奏全部到位。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SDD 稳妥团队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8-10 人，5-6 个月完成；适用于接口材料存在补充、报表口径需要多轮确认、迁移数据质量需要治理的情况。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外部条件受阻场景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6 个月以上；适用于数据湖、IC卡、胆款、电子签章等接口资料或联调环境延期，或安全合规要求后置补充。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核心难点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票号段连续性、库存流水、票单结算、报表口径、数据权限、历史数据迁移、数据湖/外部系统对接、国产化适配。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报价建议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8"/>
              </w:rPr>
              <w:t>完整建设建议按 450-650 万区间，稳妥报价点 520-580 万；效率提升主要压缩周期和重复劳动，不等于按同等比例降低报价；电子签章、等保测评、第三方授权另列。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二、模块工作量简表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功能项数</w:t>
            </w:r>
          </w:p>
        </w:tc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正常人日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协同后人日</w:t>
            </w:r>
          </w:p>
        </w:tc>
        <w:tc>
          <w:tcPr>
            <w:tcW w:type="dxa" w:w="41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重点说明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基础信息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39-79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主数据维护和外部同步，是后续业务依赖。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申请管理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审核管理（集团）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32-72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票库管理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票柜管理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40-90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13-36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围绕库存流转、审批状态和票号段控制。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33-62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票袋、配票、结算、重新结算、票号追溯，是核心复杂域。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16-24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充值卡管理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12-32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统计报表（集团/分公司整合）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60-140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40-80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统计报表（集团）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8-20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统计报表（分公司）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24-58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16-34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统计报表（票务室）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36-84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28-56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以口径确认、聚合性能、导出格式和权限过滤为重点。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综合业务管理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29-60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9-25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18-39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9-19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按业务场景完成查询、维护、导入导出和日志审计。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系统管理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30-70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10-28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全局权限、菜单、日志、阈值，是平台底座。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外部系统对接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86-183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72-102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含数据湖、二维码、银行清分、胆款、IC 卡、电子签章 6 项。二维码若业务下线，模块协同后下调至 60-84 人日；若仍需对外供数，维持 72-102 人日。开工前第 1 周以集团业务部书面冻结结果为准。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待定事项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32-96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24-49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需求边界未冻结，需补材料后确定开发、测试和报价口径。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专项工作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65-105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40-73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数据迁移、上线割接、培训和运维交接专项，不应混入普通功能项。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平台底座专项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24-42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8-17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消息中心、打印模板、异步导出等跨模块共用能力。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报表合计（含整合/集团/分公司/票务室）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25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128-302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92-184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报表实际开发 21 项，拟删除/整合 4 项，便于报价沟通。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三、SDD 实施方式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本方案中的 SDD（Spec-Driven Development，规范驱动开发）不是直接让工具一次性生成完整系统，而是把需求、设计、编码、测试、文档拆成小批量可验证任务。每个功能都按照“需求卡片 → 数据结构 → 接口 → 页面 → 测试 → 评审 → 合并”的节奏推进。本文 SDD 一律指本节定义的开发方法论，与软件工程语境中作为交付物的 Software Design Description（软件设计说明书）不同。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需求卡片化：每个页面或业务动作形成独立任务，明确角色、数据范围、输入输出、状态和验收标准。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先底座后业务：先完成认证、菜单、权限、字典、日志、导入导出、文件存储等平台能力。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核心域手工建模：票据库存、票号段、结算、退票、调账等领域模型由架构师和业务人员先确认，再进入编码。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批量生成常规代码：常规列表、表单、接口、DTO、Mapper、权限按钮、导入模板可以批量生成并统一 review。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测试前置：每个核心业务先写状态流转和金额/张数计算测试，避免只实现页面不验证账务逻辑。</w:t>
      </w:r>
    </w:p>
    <w:p>
      <w:pPr>
        <w:pStyle w:val="ListNumber"/>
        <w:spacing w:after="60" w:line="269" w:lineRule="auto"/>
      </w:pPr>
      <w:r>
        <w:rPr>
          <w:rFonts w:ascii="Calibri" w:hAnsi="Calibri" w:eastAsia="Microsoft YaHei"/>
          <w:sz w:val="20"/>
        </w:rPr>
        <w:t>小步交付：每个模块独立演示、独立验收、独立回归，不把问题积压到总体验收阶段。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3.1 可压缩与不可压缩工作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可压缩内容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不可压缩/低压缩内容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管理要求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 CRUD 与页面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列表、表单、详情、权限按钮、DTO、Mapper、基础接口、前端页面可批量生成。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业务字段确认、页面原型确认、用户体验验收。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适合按 60% 以上提效估算。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核心票据业务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单据骨架、状态枚举、接口样板、测试样例可提效。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票号连续性、库存流水、结算口径、退票回写、调账规则。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设置最低保护工时，必须人工评审。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报表统计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查询页面、导出模板、聚合 SQL 初稿可提效。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指标口径、历史数据比对、金额/张数验收、旧系统样例核对。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口径确认和验收时间不按编码效率压缩。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外部系统对接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适配层、Mock 服务、接口日志、重试框架可提效。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接口文档等待、网络开通、联调排期、外部系统问题定位。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拆分内部开发工时和外部等待周期。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映射脚本、校验脚本、异常报告生成可提效。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历史脏数据处理、业务确认、割接窗口、抽样核验。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至少三轮演练，不压缩关键验证。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部署运维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部署脚本、巡检脚本、监控配置模板可提效。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生产网络、安全审查、备份恢复演练、回滚演练。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纳入上线准入条件。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3.2 核心工作最低保护工时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工作类型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最低保护工时建议</w:t>
            </w:r>
          </w:p>
        </w:tc>
        <w:tc>
          <w:tcPr>
            <w:tcW w:type="dxa" w:w="51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票单结算、重新结算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涉及金额、张数、票号段、重新结算和历史追溯，不能只按页面复杂度估算。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退票、调票、调账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单项不低于 8-12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会影响库存回写、流水一致性和报表口径。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数据湖、IC 卡接口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单接口不低于 15-20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需字段确认、鉴权、安全、日志、联调、失败补偿和验收样例。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胆款接口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单接口不低于 15-18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以清分日报同步、补偿、对账为主，按中等接口复杂度预留。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银行清分导入/自动对账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不低于 12-18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需文件模板、重复导入控制、异常明细、人工复核和对账规则。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核心报表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单张不低于 4-8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报表开发本身可提效，但口径和数据核对需要保留时间。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数据迁移与割接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专项不低于 50-80 人日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迁移脚本、三轮演练、异常治理、割接和回滚不可省略。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下表给出 SDD 协同后的实施护栏，适用于详细功能项清单。它不是传统正常工作量，而是协同开发后仍需保留的区间口径；数据迁移一行的 30-55 人日为协同后专项口径，与上一表传统 50-80 人日并存不冲突。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工作类别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协同后人日护栏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适用功能项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票单结算/重新结算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票单结算、票单重新结算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按保护工时修正表 19，不再直接套用统一压缩系数。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退票/调票/调账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8-12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票袋退票、票柜退票、票袋调票、调账管理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涉及库存回写、流水一致性和报表回写。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数据湖/IC 卡接口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15-20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数据湖、IC 卡/一卡通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含字段确认、鉴权、安全、日志、联调和失败补偿。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胆款接口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票款清分/胆款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以清分日报同步、补偿、对账为主，按中等接口复杂度预留。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银行清分/自动对账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12-18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银行清分清点、无人售票自动对账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含文件模板、重复导入控制、异常明细和人工复核。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核心报表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4-8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日结、月结、清分、收入、趋势等核心报表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报表口径和旧系统样例核对不按编码效率压缩。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数据迁移与割接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30-55 人日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到达梦迁移、三轮演练、增量割接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协同可提效脚本和报告生成，但数据治理和演练需保留周期。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四、实施步骤简表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交付物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0. 需求冻结与切片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1.5-2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需求清单、业务流程、角色权限、报表口径、接口范围、迁移对象确认；同步拆成可并行任务卡。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需求矩阵、原型、报表口径表、接口清单、迁移清单、任务切片清单。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1. 平台底座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2.5-3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登录、用户、角色、菜单、数据权限、日志、字典、阈值、消息、文件导入导出。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可登录可授权的基础系统。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2. 基础与库存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基础资料、票库、票柜、审批、库存余额和流水。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库存闭环 MVP。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3. 票单核心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票袋、配票、结算、重新结算、退票、票号查询。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票务室核心业务闭环。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4. 扩展业务与报表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4-5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无人售、充值、特殊业务、集团/分公司/票务室报表。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完整业务与统计能力。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5. 迁移联调上线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4-6 周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数据迁移、接口联调、UAT、性能、安全整改、上线演练。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生产上线版本与运维交接材料。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周期口径说明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上表阶段存在并行关系，不应简单相加。平台底座完成 60%-70% 后，基础信息、库存、报表模板、接口 Mock、迁移脚本可并行推进。若甲方接口材料、报表口径、历史样例数据无法同步提供，周期应切换到 5-6 个月或 6 个月以上口径。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五、关键设计细节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库存与票号设计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采用“库存余额表 + 库存流水表 + 业务单据表”三层模型，不以单一库存字段承载全部业务历史。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票号段字段统一包含票价、票种、票组、起号、止号、张数、状态、库存主体、来源单据。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所有出入库动作必须写流水，流水记录来源、目标、数量、金额、操作人、操作时间和业务原因。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连续票号段需校验重叠、断号、越界、已核销、已退票、已结算等状态。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重新结算不得覆盖原记录，应形成更正单据和差异流水，保证历史可追溯。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权限与数据范围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权限拆分为菜单权限、按钮权限、接口权限、数据范围权限和导出权限。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集团管理员可分配全局权限；集团操作员按授权查看部分分公司；分公司角色默认本分公司；票务室角色只看本票务室。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后端查询必须统一注入数据范围条件，不能只依赖前端隐藏菜单。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导出、打印、报表接口必须复用同一套数据权限规则。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5.3 报表设计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每张报表上线前先确认指标定义、筛选条件、统计维度、取数来源、金额精度、导出格式。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集团和分公司同类报表尽量合并，用数据权限和维度字段控制展示结果。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高频报表建立日汇总/月汇总表，避免每次查询实时扫大量流水。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报表验收必须使用旧系统样例数据做金额和张数比对。</w:t>
      </w:r>
    </w:p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5.3.1 消息中心、阈值预警与打印模板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能力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设计内容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待确认事项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消息中心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统一承载阈值预警、申请待审核、审核结果、导入失败、接口失败、结账提醒等站内消息。支持未读/已读、弹窗提醒、按角色过滤。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是否需要短信、企业微信、邮件等外部通知；提醒频率和免打扰规则。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阈值预警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阈值管理配置指标、阈值类型、适用组织、提醒对象；达到阈值时进入消息中心并在用户打开系统时提醒。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具体阈值指标、计算频率、是否需要定时任务预计算。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审批待办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印制、调拨、核销、调账、退票、销毁等流程统一生成待办消息，支持跳转到对应单据。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各流程审批层级和超时提醒规则。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打印模板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票单配票、票单结算、票单查询整合配票单/结算单打印；票单打印菜单删除但打印能力保留。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纸张规格、打印机环境、页眉页脚、签字栏、是否套打。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报表、库存、流水、查询列表提供导出；大数据量导出采用异步任务和下载中心。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导出字段、文件格式、最大导出量、是否水印。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5.4 数据迁移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迁移对象包括 Oracle 表、序列、视图、函数、历史业务数据和必要附件。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先做数据体检，输出重复票号、缺失组织、异常状态、金额不平、非法日期等问题清单。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至少执行三轮迁移演练：开发、测试、准生产，每轮生成记录数、金额、票号覆盖和异常清单。</w:t>
      </w:r>
    </w:p>
    <w:p>
      <w:pPr>
        <w:pStyle w:val="ListBullet"/>
        <w:spacing w:after="60" w:line="269" w:lineRule="auto"/>
      </w:pPr>
      <w:r>
        <w:rPr>
          <w:rFonts w:ascii="Calibri" w:hAnsi="Calibri" w:eastAsia="Microsoft YaHei"/>
          <w:sz w:val="20"/>
        </w:rPr>
        <w:t>上线割接需要冻结旧系统写入、执行增量迁移、业务抽样核验，并保留回滚方案。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5.5 数据湖与外部系统对接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重新审查需求文档后，外部系统对接不能只作为技术预留处理。数据湖、二维码系统、银行清分、票款清分/胆款系统、IC 卡系统、电子签章均会影响接口设计、数据模型、测试样例、部署网络和验收边界。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对接对象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需求依据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设计内容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工作量建议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待确认事项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公交集团数据湖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要求对外提供统一标准数据接口，用于数据湖获取票务系统数据。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建设数据服务接口、字段字典、鉴权加密、调用日志、频率控制、失败重试、样例数据。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18-35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数据范围、推送/拉取模式、接口协议、传输频率、加密算法、验收样例。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3.3.1 与数据湖并列；附录中二维码报表页面拟删除。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确认页面删除后是否仍需保留二维码相关数据服务；如保留，需建立接口或数据集。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12-28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页面删除是否等于业务下线；历史二维码数据是否迁移；是否还要对外供数。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银行清分清点系统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3.3.2 明确银行无网环境，通过线下报表、手动导入方式对接。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设计导入模板、字段校验、重复导入控制、失败明细、导入日志、人工确认流程。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银行文件格式、清分日报字段、异常处理、是否需要自动对账。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票款清分/胆款系统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3.3.3 由票务系统导入数据后同步胆款系统，拓展部分待明确。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设计清分日报同步接口、对账字段、同步状态、失败重试、补偿任务和接口日志。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15-32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同步方向、字段口径、触发时点、接口环境、失败重传和对账责任。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卡/一卡通系统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3.3.4；线路、车辆、司售等基础信息来自 IC 卡系统同步。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建设主数据同步、增量更新、异常补偿、数据映射、同步日志和人工修正入口。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18-36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接口文档、同步频率、主数据归属、历史数据映射、异常数据处理。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电子签章系统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功能需求中说明根据业务后续评估再升级，特殊业务提供在线签字确认。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一期预留签章对象、签章状态、附件归档和业务钩子；正式接口联调可单列。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8-20 人日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签章厂商、CA/证书、签章流程、法律效力、附件存储、费用授权。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5.5.1 数据湖接口细化设计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设计项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建议方案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需要确认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数据目录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建立票务主数据、库存流水、单据审批、票单结算、充值收入、无人售清分、报表汇总等数据集目录。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数据湖实际需要哪些主题域，是否需要历史全量数据。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同步模式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支持全量初始化 + 增量同步；增量可按更新时间、业务流水号或同步批次号识别。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数据湖是主动拉取还是票务系统主动推送。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接口形态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 REST/OpenAPI；大批量历史数据可采用文件交换或定时批量导出。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接口协议、网络通道、文件格式、字符集和压缩方式。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安全与加密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接口鉴权、签名、时间戳、防重放、传输加密、敏感字段脱敏、调用白名单。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集团安全要求、密钥管理方式、是否要求国密算法。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数据质量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提供记录数、金额合计、张数合计、批次状态、失败明细和重传机制。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数据湖验收规则、质量阈值、错误处理责任边界。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版本管理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字段字典和接口版本化，新增字段向后兼容，重大变更需变更单。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数据湖侧是否有统一接口规范和版本发布流程。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审计监控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记录调用方、接口、时间、参数摘要、返回状态、耗时、错误信息和重试次数。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日志留存周期、审计字段、告警推送方式。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5.6 待定事项与范围冻结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待定事项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需求文档表述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27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冻结前处理建议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第三方对接模块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待提供具体接口材料。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影响接口工作量、排期、联调环境和报价边界。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把接口文档、样例数据、联调账号、验收规则作为开工前置条件。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安全性要求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待集团补充确认。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影响账号策略、日志留存、接口加密、部署网络和等保/密评。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形成安全需求清单，明确是否含等保、密评、信创测评配合。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影响库存、金额、报表和审计追溯。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明确可调对象、审批层级、是否影响历史报表、是否需要会计凭证。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特殊票管理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具体业务场景待明确。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影响是否纳入库存流水、收入统计和报表。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明确特殊票类型、领取/核销/结算流程和数据口径。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无人售票自动对账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功能范围中提出新增无人售票自动对账、数据清洗。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影响银行清分导入、异常处理和对账算法。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明确银行文件格式、对账口径、容差规则、人工复核流程。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后续根据业务评估再升级。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影响特殊业务闭环和第三方费用。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一期只做预留还是完整接入需在合同中明确。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Calibri" w:hAnsi="Calibri" w:eastAsia="Microsoft YaHei"/>
          <w:b/>
          <w:color w:val="1F4D78"/>
          <w:sz w:val="24"/>
        </w:rPr>
        <w:t>5.6.1 范围边界与报价口径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事项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建议纳入一期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建议单列/待确认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接口框架、字段字典、调用日志、Mock 联调、已确认数据集。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数据湖侧未确认的数据集、特殊加密、历史全量大批量交换。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数据范围和集团安全规范会直接影响工作量。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二维码系统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保留必要数据接口占位和历史数据确认。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若页面删除后仍要求完整二维码统计供数，应单列确认。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需求中页面拟删除，但 3.3.1 仍提到二维码系统。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电子签章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签章状态、附件字段、业务钩子、归档能力预留。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完整电子签章厂商联调、CA 授权、法律效力流程。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需求明确后续评估再升级。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等保/密评/信创测评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基础安全设计、日志审计、国产化适配。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正式测评整改、测评材料、第三方平台对接。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需求中安全性待集团补充确认。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调账/特殊票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基础单据与菜单预留。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完整业务规则、报表影响、会计口径调整。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原文标注具体业务场景待明确。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无人售自动对账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导入、清分日报、异常记录基础能力。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自动对账算法、容差规则、异常闭环和清洗策略。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原文提出新增能力但规则未展开。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冻结对象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冻结物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责任方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截止节点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未冻结后果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二维码业务边界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业务下线/仅删菜单/仍需对外供数三选一书面确认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1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进入稳妥计划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2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调账管理业务场景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可调对象、审批层级、是否影响历史报表、是否需会计凭证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集团财务/业务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特殊票管理业务场景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特殊票类型、领取/核销/结算流程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单列变更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4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银行清分文件格式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字段、分隔符、字符集、对账容差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银行/集团清算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3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银行清分项延后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5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安全合规等级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等保二级/三级、是否含密评/信创测评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集团信息安全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安全整改后置或单列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6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电子签章范围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一期预留/一期完整接入 + CA 厂商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集团法务/业务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8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一期仅做预留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7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数据湖数据集与协议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主题域、推/拉、加密算法、验收样例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数据湖团队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数据湖仅交付框架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IC 卡同步主数据归属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线路/车辆/司售数据源、增量字段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一卡通公司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协同人日上调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9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报表口径样例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集团/分公司/票务室各类报表旧系统样例数据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集团业务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报表验收延后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10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达梦双套许可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生产主备 + 开发测试主备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集团采购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5"/>
              </w:rPr>
              <w:t>联调延期 1-2 周或本地用 H2/MySQL 临时联调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六、部署与可运维性设计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本项目属于票务核心管理系统，部署和运维能力应在一期同步设计，不能等到开发完成后补。运维设计目标是：可部署、可监控、可审计、可备份、可恢复、可灰度、可回滚。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6.0 基础资源与容量规划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资源项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原始需求口径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设计建议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用户规模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总量 &gt;200 名，峰值 150 名在线。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 150 在线用户进行压力测试，报表、导入、结账等高负载场景单独压测。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服务器资源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3 台服务器：2 台数据库服务器，1 台应用服务器；总计 24vCPU、96G 内存。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基础方案按 1 台应用主机交付；应用双节点仅作为建议位预留或二期可选，不纳入基础资源口径。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数据库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达梦数据库 2 套：生产 1 套主备 + 开发测试 1 套主备。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达梦许可由甲方采购或在合同中单列；SQL 兼容性需前置验证，重点关注 Oracle 迁移函数、序列、视图和报表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历史数据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Oracle 历史数据约 200GB，涉及 79 张表、序列、视图、函数等。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先做数据体检和迁移映射，历史数据全量迁移后再做增量割接。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对象存储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年存储需求约 800-1000G OBS。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导入文件、导出报表、签章附件、迁移中间文件需制定生命周期和归档策略。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网络资源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业务应用、数据库、数据中心服务器、线网中心内网需互通；涉及 192.168.99.x、10.129.87.x 和外网映射。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上线前完成网络连通性、端口、白名单、接口访问、文件交换路径和外网 NAT 映射确认。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资源与许可边界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基础部署严格对齐原始需求 3 台服务器口径。应用双节点、双活容灾、第三方运维平台对接、OBS 异地副本属于建议项或二期可选。达梦数据库授权、国产服务器与操作系统、国产中间件与浏览器、电子签章 CA 与硬件介质、等保/密评/信创测评费用，由甲方采购或在合同中单列。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运维领域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设计要求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工作量建议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环境规划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至少规划开发、测试、预生产、生产四类环境；生产采用应用服务与数据库分离部署，数据库主备。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国产化适配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适配达梦数据库、国产服务器操作系统、国产中间件或 Nginx/应用服务部署要求，提前验证驱动和 SQL 兼容性。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配置管理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数据库连接、文件存储、外部接口、导入目录、日志级别、任务开关全部配置化，避免写死在代码中。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8-12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CI/CD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建立构建、单元测试、打包、制品归档、部署脚本流程；生产部署需支持版本标记和回滚。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日志审计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区分业务操作日志、登录日志、接口日志、导入导出日志、系统错误日志；关键单据状态变化必须可追溯。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监控告警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监控应用存活、接口耗时、数据库连接池、慢 SQL、磁盘空间、导入任务、定时任务和异常错误率。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数据库全量/增量备份，导入文件和导出附件备份，定期恢复演练，形成恢复时间目标。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12-20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上线回滚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上线前冻结窗口、迁移脚本、冒烟检查、业务抽样、失败回滚、旧系统只读策略均需预案。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15-25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运维交接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提供部署手册、配置手册、巡检手册、常见问题、数据恢复手册和接口联调手册。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10-18 人日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外部接口运维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对数据湖、IC卡、胆款、银行清分导入等接口建立调用日志、失败告警、重试补偿和手工补传工具。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20-35 人日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6.1 运维验收指标建议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建议值/要求</w:t>
            </w:r>
          </w:p>
        </w:tc>
        <w:tc>
          <w:tcPr>
            <w:tcW w:type="dxa" w:w="43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RPO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核心业务数据建议 ≤ 15 分钟；最终以甲方灾备要求和上线前验证为准。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通过达梦主备同步和定时归档备份兜底；如要求 RPO ≤ 5 分钟需开启同步复制并单独验收。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RTO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普通故障 2 小时内恢复；重大故障按应急预案切换或回滚。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需在上线前完成恢复演练和回滚演练。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日志留存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操作日志、登录日志、接口日志建议不少于 180 天；审计类日志可按集团要求延长。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满足操作追溯、接口追踪和安全审计。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接口重试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外部接口失败建议自动重试 3 次，仍失败进入补偿队列并告警。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适用于数据湖、IC 卡、胆款等接口。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导入失败处理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导入失败必须生成失败明细，可下载、可修正、可重新导入。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适用于银行清分、无人售、残币、充值等文件导入场景。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慢 SQL 阈值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建议 2 秒以上记录慢 SQL，5 秒以上告警或进入优化清单。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重点关注报表查询、库存查询和迁移后 SQL。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备份恢复演练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上线前至少 1 次，正式运行后建议每季度 1 次。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演练结果纳入运维交接材料。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生产配置管理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密钥、数据库连接、接口地址、文件路径、任务开关全部外置配置。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避免生产环境硬编码和手工改包。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6.2 性能、可靠性与兼容性验收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验收项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建议指标</w:t>
            </w:r>
          </w:p>
        </w:tc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在线用户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按峰值 150 在线用户设计压测场景。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覆盖登录、列表查询、库存查询、票单结算、报表查询。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普通查询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常规列表查询建议 2 秒内返回。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大数据量查询需分页、索引和权限过滤优化。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报表查询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常用日报/月报建议 5-10 秒内返回；复杂历史报表可异步生成。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高频报表建议使用汇总表或预计算。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Excel 导出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大文件导出使用异步任务，完成后下载，避免浏览器长时间等待。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需限制单次最大导出量和导出权限。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文件导入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导入任务异步执行，失败明细可下载，可修正后重导。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适用于银行清分、无人售、残币、充值等模板。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可靠性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关键业务异常必须事务回滚，不产生半库存、半流水状态。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票据库存、结算、退票、调账为重点。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浏览器兼容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优先支持 Chrome、Edge 及甲方内网指定国产浏览器。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打印、上传、下载需在目标浏览器验证。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打印兼容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配票单、结算单需验证纸张、页边距、分页和打印机兼容。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票单打印菜单删除，但打印能力保留到查询/结算入口。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压测场景</w:t>
            </w:r>
          </w:p>
        </w:tc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建议并发/数据量</w:t>
            </w:r>
          </w:p>
        </w:tc>
        <w:tc>
          <w:tcPr>
            <w:tcW w:type="dxa" w:w="36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通过判据</w:t>
            </w:r>
          </w:p>
        </w:tc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工具建议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登录与菜单加载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150 在线用户，分批登录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登录成功率稳定，菜单加载无明显超时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 或甲方指定工具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库存查询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50 并发，按分公司/票务室/票号段查询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常规查询 2 秒内，大查询分页返回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JMeter/Locust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票单结算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并发，含票号段计算和保存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事务一致，无半库存/半流水状态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场景脚本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报表查询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20 并发，日报/月报/清分报表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常用报表 5-10 秒内，复杂报表异步生成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Excel 导出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10 并发，大数据量导出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进入异步任务，不阻塞浏览器请求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接口压测 + 文件校验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文件导入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5 并发，银行清分/残币/充值模板</w:t>
            </w:r>
          </w:p>
        </w:tc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失败明细准确，可修正后重导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批量导入脚本</w:t>
            </w:r>
          </w:p>
        </w:tc>
      </w:tr>
    </w:tbl>
    <w:p/>
    <w:p>
      <w:pPr>
        <w:spacing w:after="120" w:line="269" w:lineRule="auto"/>
      </w:pPr>
      <w:r>
        <w:rPr>
          <w:rFonts w:ascii="Calibri" w:hAnsi="Calibri" w:eastAsia="Microsoft YaHei"/>
          <w:b w:val="0"/>
          <w:sz w:val="19"/>
        </w:rPr>
        <w:t>压测完成后需执行数据一致性核验脚本，至少校验：库存余额等于流水汇总、票号段数量等于起号至止号枚举数量、单据金额等于明细金额汇总。核验结果应纳入性能测试报告。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6.3 交付物、培训与运维交接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交付类别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说明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需求与设计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需求矩阵、功能清单、原型、数据库设计、接口设计、报表口径表。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作为验收范围和变更管理基线。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开发交付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源代码、构建脚本、部署包、数据库脚本、迁移脚本、导入模板、打印模板。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版本需可追溯，生产发布包需归档。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测试交付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测试用例、接口测试报告、性能测试报告、UAT 问题清单、回归测试报告。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重点覆盖库存流水、结算、权限、报表、迁移。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数据迁移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迁移方案、字段映射、迁移脚本、数据体检报告、迁移核对报告、割接记录。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至少三轮迁移演练后上线。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运维文档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部署手册、配置手册、巡检手册、备份恢复手册、接口补偿手册、应急回滚预案。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交付给甲方运维团队。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用户材料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用户操作手册、管理员手册、培训课件、常见问题清单。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按集团、分公司、票务室角色分别组织培训。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培训安排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管理员培训、业务操作培训、报表核对培训、运维培训。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建议至少 2 轮：上线前集中培训，上线后问题复盘培训。</w:t>
            </w:r>
          </w:p>
        </w:tc>
      </w:tr>
    </w:tbl>
    <w:p/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6.4 目标环境矩阵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必测项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选测项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备注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浏览器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Chrome 100+、Edge 100+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奇安信浏览器、UOS 浏览器、360 安全浏览器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甲方信创浏览器需提供具体版本。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操作系统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Windows 10/11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统信 UOS、麒麟 V10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服务端和客户端分别声明。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打印机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 款激光 + 1 款针打（甲方提供型号）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热敏打印机（如有）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票务打印多用针打，纸张需现场调试。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屏幕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1920×1080 桌面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1366×768 笔记本、4K 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UI 适配最小宽度建议 1366。</w:t>
            </w:r>
          </w:p>
        </w:tc>
      </w:tr>
      <w:tr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网络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内网 100M/1G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跨区域内网带宽 ≥ 50M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6"/>
              </w:rPr>
              <w:t>报表和导出场景按 50M 估算。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部署工作量口径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部署与运维建设建议单独预留 140-235 人日，其中外部接口运维、失败补偿和告警监控需纳入一期。如果甲方要求等保测评、密评配合、信创测评、双活容灾或第三方运维平台对接，应另行增加专项工作量和报价。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七、详细功能项清单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以下清单按需求文档附录逐项展开。正常人日为完整开发、自测、联调配合口径；协同后人日为采用 SDD 方式后的执行估算，不包含甲方等待、接口资料延迟和重大需求变更。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224" w:left="1296" w:header="648" w:footer="648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详细功能项与工作量估算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序号</w:t>
            </w:r>
          </w:p>
        </w:tc>
        <w:tc>
          <w:tcPr>
            <w:tcW w:type="dxa" w:w="13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模块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功能页面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现有功能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开发内容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正常人日</w:t>
            </w:r>
          </w:p>
        </w:tc>
        <w:tc>
          <w:tcPr>
            <w:tcW w:type="dxa" w:w="8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协同后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4"/>
              </w:rPr>
              <w:t>难点/备注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查询、新建、修改、删除、绑定车队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线路管理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票价管理（集团账号）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票价管理（集团账号）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车辆管理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车辆管理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司售管理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添加、编辑、删除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司售管理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机具查询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机具查询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3-6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1.0-2.4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以查询、筛选、详情、导出或基础维护为主。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模版下载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下载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模版下载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基础信息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IC卡类型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IC卡类型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印制审核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印制审核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调拨审核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调拨审核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核销审核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核销审核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审核管理（集团）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调账审核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调账审核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票库入库查询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票库入库查询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票柜库存查询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票柜库存查询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票柜入库查询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票柜入库查询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配票申请管理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申请、详细查看、主动配票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配票申请管理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票务室调票管理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调票、详细查看、单张/批量调票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票务室调票管理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添加、更换线路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票单配票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加载数据、配票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票单配票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加载数据、结算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打印配票单、打印结算单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票单打印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票单查询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票袋调票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票袋调票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无人售管理（线路）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无人售管理（线路）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无人售管理（车辆）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无人售管理（车辆）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票单重新结算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重新结算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票单重新结算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票单管理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票号查询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票号查询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退票管理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票柜退票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连续退票、单张退票、详细查看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票柜退票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14-26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查询、分发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分公司IC卡入库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分公司IC卡入库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分公司IC卡出库查询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分公司IC卡出库查询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网点IC卡库存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查询、退回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网点IC卡库存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2.6-7.2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网点IC卡售出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售出记录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网点IC卡售出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配出统计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配出统计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统计查询、生成日报表、删除日报表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普票收入日报表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普票收入日报表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月终结算报表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月终结算报表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票款清分日报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统计查询、按阶段导出excel、导出excel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票款清分日报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收入走势报表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收入走势报表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残币入账走势报表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残币入账走势报表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统计报表（集团/分公司整合）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分公司票务管理月报表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分公司票务管理月报表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二维码普票进出站统计（集团）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二维码普票进出站统计（集团）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二维码普票售检统计（集团）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二维码普票售检统计（集团）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IC卡充值网点统报表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IC卡充值网点统报表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充值点充值卡盘点表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充值点充值卡盘点表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统计报表（分公司）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分公司收入核对报表（分公司权限）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分公司收入核对报表（分公司权限）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票务室日结报表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票务室日结报表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票袋结存报表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票袋结存报表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票务室存售日报表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票务室存售日报表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票务室交班对账表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票务室交班对账表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票务室存售月报表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票务室存售月报表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统计报表（票务室）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票款实交银行登记表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报表统计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统计查询、结账、删除、导出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票款实交银行登记表 查询、统计聚合、权限过滤、Excel 导出、必要趋势展示和口径校验。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需确认统计口径、权限范围、导出格式和历史数据性能。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充值卡/发票管理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充值卡/发票管理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充值收入管理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添加、充值导入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充值收入管理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票胆管理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票胆管理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异物管理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添加、编辑、领取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异物管理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大额币管理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大额币管理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残币管理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包专管理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包专管理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综合业务管理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多样化运营登记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常规功能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添加、登记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多样化运营登记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4-8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1.3-3.2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以列表、表单、校验、权限按钮和操作日志为主。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79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残币导入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残币导入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导入导出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无人售导入 模板下载、文件上传、字段校验、入库处理、失败明细和导入日志。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5-10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1.6-4.0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需模板、字段校验、失败明细、导入日志和重复处理。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配票应急导入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核心业务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上传excel、上传票袋数据（分公司/票务室）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配票应急导入 的单据、审批/确认、库存流水、票号段校验、查询导出和异常回滚。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需要状态机、库存流水、票号段校验、事务一致性和回归测试。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导入管理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充值导入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拟删除/整合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上传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 充值导入 下线或合并路径，处理菜单、权限、历史查询入口和数据保留。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确认下线、菜单隐藏、历史数据保留和跳转清理。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用户管理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添加、编辑、编辑操作权限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用户管理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阈值管理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权限管理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添加、编辑（分公司/票务室权限）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权限管理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菜单管理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添加、编辑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菜单管理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系统管理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登录日志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查询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登录日志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需统一认证授权、按钮权限、数据范围和审计记录。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公交集团数据湖标准数据接口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统一数据接口、数据格式、传输频率、安全保障、数据加密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公交集团数据湖标准数据接口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需确认数据范围、接口协议、鉴权加密、传输频率、推拉模式和验收样例。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二维码系统数据接口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统一标准数据接口、二维码相关历史/统计数据供给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二维码系统数据接口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12-28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0-1 / 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需以接口文档、联调环境、样例数据和验收规则为准。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银行清分清点系统线下对接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线下报表传递、手动导入、清分日报入库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银行清分清点系统线下对接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票款清分/胆款系统同步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票务系统导入数据后同步胆款系统，涉及票款清分日报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票款清分/胆款系统同步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15-32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需确认字段口径、文件/接口格式、重试补偿、对账机制和失败处理。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IC卡/一卡通系统数据对接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线路、车辆、司售、IC卡类型、充值相关数据同步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IC卡/一卡通系统数据对接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18-36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需确认主数据归属、同步频率、增量机制、异常补偿和历史数据映射。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外部系统对接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电子签章系统预留/对接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外部对接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特殊业务在线签字确认、签章状态、签章文件归档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电子签章系统预留/对接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2.6-8.0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一期建议预留签章对象、签章状态和附件归档；正式联调视接口材料另估。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94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安全性与合规要求确认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安全策略、审计要求、加密要求、等保/密评/信创测评配合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安全性与合规要求确认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95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调账申请、审核、库存/金额调整、差异流水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调账管理业务场景确认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调账业务会影响库存、金额、报表和审计追溯，需高于普通待定事项估算。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96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特殊票管理业务场景确认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特殊票新增、修改、删除、领取、核销或结算关系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特殊票管理业务场景确认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6-24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1.9-9.6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当前需求材料不足，需业务或集团侧补充确认后才能冻结范围。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97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待定事项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无人售票自动对账与数据清洗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待定补充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无人售票清分数据自动对账、异常识别、数据清洗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无人售票自动对账与数据清洗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12-24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12-18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自动对账规则未冻结，需按银行清分护栏预留分析、校验和复核工时。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98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数据迁移与上线割接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Oracle 到达梦迁移、三轮迁移演练、增量割接、抽样核验、回滚预案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数据迁移与上线割接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50-80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30-55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三轮迁移演练、数据治理、增量割接和回滚验证不可省略。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99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培训与运维交接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专项工作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管理员培训、业务培训、报表核对培训、运维培训、用户手册和培训课件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培训与运维交接 的列表查询、详情、新增/编辑/停用或删除、权限按钮、日志和导出能力。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15-25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10-18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培训材料、分角色培训和上线后复盘需单列交付。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100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消息中心与审批待办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阈值预警、申请/审核消息、未读已读、弹窗提醒、待办跳转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消息中心与审批待办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消息中心、待办提醒和阈值预警属于跨模块底座能力。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101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打印模板与浏览器打印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配票单、结算单、打印模板、纸张规格、浏览器打印兼容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打印模板与浏览器打印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打印菜单删除不代表打印能力删除，需统一模板和兼容性验证。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102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平台底座专项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Excel异步导出中心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平台能力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大数据量导出、异步任务、下载中心、导出权限、水印/字段控制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建设 Excel异步导出中心 的配置管理、权限控制、审计记录、查询筛选和维护页面。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8-14</w:t>
            </w:r>
          </w:p>
        </w:tc>
        <w:tc>
          <w:tcPr>
            <w:tcW w:type="dxa" w:w="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2.6-5.6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4"/>
              </w:rPr>
              <w:t>大数据量导出需异步任务、权限控制和下载中心。</w:t>
            </w:r>
          </w:p>
        </w:tc>
      </w:tr>
    </w:tbl>
    <w:p/>
    <w:p>
      <w:pPr>
        <w:sectPr>
          <w:pgSz w:w="15840" w:h="12240" w:orient="landscape"/>
          <w:pgMar w:top="864" w:right="792" w:bottom="864" w:left="792" w:header="504" w:footer="504" w:gutter="0"/>
          <w:cols w:space="720"/>
          <w:docGrid w:linePitch="360"/>
        </w:sectPr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八、风险与边界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风险点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表现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建议处理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需求边界不清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文档中存在“待明确”“删除”“整合”项，容易反复变更。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在开发前形成冻结版功能清单，变更走审批和工期调整。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接口资料缺失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数据湖、二维码、胆款、电子签章等接口材料未完全明确。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一期只做接口框架和已确认接口，未确认部分单独列二期。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报表口径争议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同一报表集团/分公司/票务室口径不同，数字验收困难。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先用旧系统样例数据签字确认，再开发。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历史数据异常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旧系统长期运行导致脏数据和状态不一致。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迁移前做数据体检，异常数据由业务确认处理规则。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国产化兼容风险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达梦 SQL、数据库驱动、国产操作系统、中间件和浏览器兼容问题可能后置暴露。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开发早期即接入达梦和目标浏览器，迁移函数、序列、视图和报表 SQL 前置验证。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网络连通延期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云平台、数据中心、线网中心、外部接口白名单和端口开通不及时。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把网络连通、端口、白名单和 NAT 映射列为上线前置条件。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安全合规后补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等保、密评、信创测评要求若后置补充，会影响架构、日志、加密和部署。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安全等级和测评范围在第 4 周前冻结，正式测评配合单列报价。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打印与浏览器兼容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配票单、结算单在目标浏览器、打印机、纸张和页边距下可能存在偏差。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上线前用甲方实际浏览器和打印机做专项验证。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旧系统并行窗口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上线割接后旧系统是否只读、并行多久、如何回滚未明确。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制定割接窗口、只读策略、增量迁移、回滚分支和抽样验收流程。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AI 生成代码质量波动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常规代码效率高，但核心业务可能遗漏隐性规则。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rFonts w:ascii="Calibri" w:hAnsi="Calibri" w:eastAsia="Microsoft YaHei"/>
                <w:sz w:val="17"/>
              </w:rPr>
              <w:t>核心交易类代码必须人工 review，并要求测试覆盖状态流转和金额计算。</w:t>
            </w:r>
          </w:p>
        </w:tc>
      </w:tr>
    </w:tbl>
    <w:p/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九、结论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本项目按当前修订口径共 102 个工作条目，已将原需求明确删除/整合的功能按 0-1 人日处理，并合并集团/分公司同名报表。传统完整实施工作量约 713-1536 人日，SDD 协同后约 389-772 人日；核心业务、外部接口、报表口径、数据迁移和上线割接设置最低保护工时，不随 60% 提效目标等比例压缩。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周期建议采用双口径：激进计划为 8-10 人、4-5 个月，前提是需求冻结、接口资料、历史样例数据、达梦许可和联调环境在约定节点全部到位；稳妥计划为 8-10 人、5-6 个月，适用于接口材料补充、报表口径多轮确认或迁移数据质量治理场景。任一关键前置条件未达成，应自动切换至稳妥计划或单列变更。上述协同后人日不含部署与运维建设的 140-235 人日；后者已包含在基础报价中，仅当甲方追加等保/密评/信创测评、双活容灾或第三方运维平台对接时另行增加专项报价。</w:t>
      </w:r>
    </w:p>
    <w:p>
      <w:pPr>
        <w:spacing w:after="120" w:line="269" w:lineRule="auto"/>
      </w:pPr>
      <w:r>
        <w:rPr>
          <w:rFonts w:ascii="Calibri" w:hAnsi="Calibri" w:eastAsia="Microsoft YaHei"/>
          <w:b w:val="0"/>
          <w:sz w:val="21"/>
        </w:rPr>
        <w:t>报价建议维持 450-650 万区间，稳妥报价点 520-580 万。该报价不含达梦数据库授权、国产服务器与操作系统、国产中间件、第三方电子签章、CA/硬件介质、等保/密评/信创测评、第三方运维平台和双活容灾等单列项目。效率提升主要压缩周期和重复劳动，不等于按同等比例降低项目责任、质保、联调和验收成本。</w:t>
      </w:r>
    </w:p>
    <w:sectPr w:rsidR="00FC693F" w:rsidRPr="0006063C" w:rsidSect="00034616">
      <w:pgSz w:w="15840" w:h="12240" w:orient="landscape"/>
      <w:pgMar w:top="864" w:right="792" w:bottom="864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7"/>
      </w:rPr>
      <w:t>内部评估文件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color w:val="606C7A"/>
        <w:sz w:val="17"/>
      </w:rPr>
      <w:t>北京公交集团票务综合管理平台系统升级 | SDD 实施与工作量评估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