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9" w:lineRule="auto"/>
      </w:pPr>
      <w:r>
        <w:rPr>
          <w:rFonts w:ascii="Calibri" w:hAnsi="Calibri" w:eastAsia="Microsoft YaHei"/>
          <w:b/>
          <w:color w:val="606C7A"/>
          <w:sz w:val="22"/>
        </w:rPr>
        <w:t>项目实施方案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6"/>
        </w:rPr>
        <w:t>北京公交集团票务综合管理平台系统升级</w:t>
      </w:r>
    </w:p>
    <w:p>
      <w:pPr>
        <w:spacing w:after="280"/>
      </w:pPr>
      <w:r>
        <w:rPr>
          <w:rFonts w:ascii="Calibri" w:hAnsi="Calibri" w:eastAsia="Microsoft YaHei"/>
          <w:color w:val="606C7A"/>
          <w:sz w:val="30"/>
        </w:rPr>
        <w:t>Vibe Coding 实施方案与工作量清单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文档用途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用于项目立项、排期、报价拆分、研发组织和验收范围确认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编制日期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2026-05-08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需求来源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北京公交集团票务综合管理平台系统升级需求分析说明书（初稿0506）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估算口径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包含需求深化、设计、开发、自测、联调、迁移、测试配合和上线支持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简要结论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本项目按当前修订口径约 102 个工作条目，正常工作量约 713-1536 人日。Vibe Coding 对常规页面、脚手架、测试样例、文档和部分接口适配按 60% 以上提效目标组织；但核心业务、外部对接、报表口径、数据迁移和上线割接设置最低保护工时，因此全口径协同后工作量约 389-772 人日。该口径要求需求冻结、接口材料同步到位、自动化测试和人工评审强约束。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一、简要评估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3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建议口径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功能规模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102 个功能项，覆盖原需求 14 个一级模块，并补充外部系统对接、数据湖接口和待定事项工作量。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传统开发团队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10-12 人，8-10 个月完成；包含产品、前端、后端、数据迁移、测试、实施。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Vibe Coding 激进团队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8-10 人，4-5 个月完成；前提是需求冻结、接口材料及时、测试自动化、代码评审、业务验收和并行联调节奏全部到位。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Vibe Coding 稳妥团队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8-10 人，5-6 个月完成；适用于接口材料存在补充、报表口径需要多轮确认、迁移数据质量需要治理的情况。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外部条件受阻场景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6 个月以上；适用于数据湖、IC卡、胆款、电子签章等接口资料或联调环境延期，或安全合规要求后置补充。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核心难点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票号段连续性、库存流水、票单结算、报表口径、数据权限、历史数据迁移、数据湖/外部系统对接、国产化适配。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报价建议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完整建设建议按 450-650 万区间，稳妥报价点 520-580 万；效率提升主要压缩周期和重复劳动，不等于按同等比例降低报价；电子签章、等保测评、第三方授权另列。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二、模块工作量简表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功能项数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正常人日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协同后人日</w:t>
            </w:r>
          </w:p>
        </w:tc>
        <w:tc>
          <w:tcPr>
            <w:tcW w:type="dxa" w:w="41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重点说明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基础信息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39-79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13-32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主数据维护和外部同步，是后续业务依赖。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申请管理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32-72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审核管理（集团）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32-72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票库管理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24-54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8-22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票柜管理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40-90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13-36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70-140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33-62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票袋、配票、结算、重新结算、票号追溯，是核心复杂域。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退票管理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28-52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16-24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充值卡管理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12-32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统计报表（集团/分公司整合）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60-140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40-80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8-20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统计报表（分公司）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24-58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统计报表（票务室）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28-56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综合业务管理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29-60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9-25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18-39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9-19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系统管理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30-70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10-28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全局权限、菜单、日志、阈值，是平台底座。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外部系统对接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86-183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72-102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数据湖、二维码、银行清分、胆款、IC卡、电子签章等接口联调。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待定事项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32-96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24-49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需求边界未冻结，需补材料后确定开发、测试和报价口径。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专项工作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65-105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40-73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数据迁移、上线割接、培训和运维交接专项，不应混入普通功能项。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平台底座专项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24-42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8-17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消息中心、打印模板、异步导出等跨模块共用能力。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三、Vibe Coding 实施方式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ibeCoding协同交付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1 Vibe Coding 协同交付流程图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本方案中的 Vibe Coding 不是直接让工具一次性生成完整系统，而是把需求、设计、编码、测试、文档拆成小批量可验证任务。每个功能都按照“需求卡片 - 数据结构 - 接口 - 页面 - 测试 - 评审 - 合并”的节奏推进。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需求卡片化：每个页面或业务动作形成独立任务，明确角色、数据范围、输入输出、状态和验收标准。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先底座后业务：先完成认证、菜单、权限、字典、日志、导入导出、文件存储等平台能力。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核心域手工建模：票据库存、票号段、结算、退票、调账等领域模型由架构师和业务人员先确认，再进入编码。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批量生成常规代码：常规列表、表单、接口、DTO、Mapper、权限按钮、导入模板可以批量生成并统一 review。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测试前置：每个核心业务先写状态流转和金额/张数计算测试，避免只实现页面不验证账务逻辑。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小步交付：每个模块独立演示、独立验收、独立回归，不把问题积压到总体验收阶段。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3.1 可压缩与不可压缩工作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类别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可压缩内容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不可压缩/低压缩内容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管理要求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常规 CRUD 与页面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列表、表单、详情、权限按钮、DTO、Mapper、基础接口、前端页面可批量生成。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业务字段确认、页面原型确认、用户体验验收。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适合按 60% 以上提效估算。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核心票据业务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单据骨架、状态枚举、接口样板、测试样例可提效。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票号连续性、库存流水、结算口径、退票回写、调账规则。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设置最低保护工时，必须人工评审。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报表统计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查询页面、导出模板、聚合 SQL 初稿可提效。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指标口径、历史数据比对、金额/张数验收、旧系统样例核对。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口径确认和验收时间不按编码效率压缩。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外部系统对接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适配层、Mock 服务、接口日志、重试框架可提效。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接口文档等待、网络开通、联调排期、外部系统问题定位。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拆分内部开发工时和外部等待周期。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映射脚本、校验脚本、异常报告生成可提效。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历史脏数据处理、业务确认、割接窗口、抽样核验。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至少三轮演练，不压缩关键验证。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部署运维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部署脚本、巡检脚本、监控配置模板可提效。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生产网络、安全审查、备份恢复演练、回滚演练。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纳入上线准入条件。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3.2 核心工作最低保护工时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工作类型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最低保护工时建议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票单结算、重新结算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单项不低于 8-12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涉及金额、张数、票号段、重新结算和历史追溯，不能只按页面复杂度估算。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退票、调票、调账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单项不低于 8-12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会影响库存回写、流水一致性和报表口径。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数据湖、IC 卡、胆款接口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单接口不低于 15-20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需字段确认、鉴权、安全、日志、联调、失败补偿和验收样例。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银行清分导入/自动对账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不低于 12-18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需文件模板、重复导入控制、异常明细、人工复核和对账规则。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核心报表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单张不低于 4-8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报表开发本身可提效，但口径和数据核对需要保留时间。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数据迁移与割接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专项不低于 50-80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迁移脚本、三轮演练、异常治理、割接和回滚不可省略。</w:t>
            </w:r>
          </w:p>
        </w:tc>
      </w:tr>
    </w:tbl>
    <w:p/>
    <w:p>
      <w:pPr>
        <w:spacing w:after="120" w:line="269" w:lineRule="auto"/>
      </w:pPr>
      <w:r>
        <w:rPr>
          <w:rFonts w:ascii="Calibri" w:hAnsi="Calibri" w:eastAsia="Microsoft YaHei"/>
          <w:b w:val="0"/>
          <w:sz w:val="19"/>
        </w:rPr>
        <w:t>下表给出 Vibe Coding 协同后的实施护栏，适用于详细功能项清单。它不是传统正常工作量，而是协同开发后仍需保留的区间口径；数据迁移一行的 30-55 人日为协同后专项口径，与上一表传统 50-80 人日并存不冲突。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工作类别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协同后人日护栏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适用功能项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票单结算/重新结算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8-12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票单结算、票单重新结算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按保护工时修正表 19，不再直接套用统一压缩系数。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退票/调票/调账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8-12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票袋退票、票柜退票、票袋调票、调账管理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涉及库存回写、流水一致性和报表回写。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数据湖/IC 卡接口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15-20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数据湖、IC 卡/一卡通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含字段确认、鉴权、安全、日志、联调和失败补偿。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胆款接口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15-18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票款清分/胆款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以清分日报同步、补偿、对账为主，按中等接口复杂度预留。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银行清分/自动对账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12-18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银行清分清点、无人售票自动对账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含文件模板、重复导入控制、异常明细和人工复核。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核心报表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4-8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日结、月结、清分、收入、趋势等核心报表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报表口径和旧系统样例核对不按编码效率压缩。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数据迁移与割接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30-55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Oracle 到达梦迁移、三轮演练、增量割接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协同可提效脚本和报告生成，但数据治理和演练需保留周期。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四、实施步骤简表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系统功能地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2 系统功能地图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主要工作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交付物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0. 需求冻结与切片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1.5-2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需求清单、业务流程、角色权限、报表口径、接口范围、迁移对象确认；同步拆成可并行任务卡。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需求矩阵、原型、报表口径表、接口清单、迁移清单、任务切片清单。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1. 平台底座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2.5-3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登录、用户、角色、菜单、数据权限、日志、字典、阈值、消息、文件导入导出。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可登录可授权的基础系统。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2. 基础与库存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4-5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基础资料、票库、票柜、审批、库存余额和流水。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库存闭环 MVP。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3. 票单核心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5-6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票袋、配票、结算、重新结算、退票、票号查询。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票务室核心业务闭环。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4. 扩展业务与报表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4-5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无人售、充值、特殊业务、集团/分公司/票务室报表。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完整业务与统计能力。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5. 迁移联调上线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4-6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数据迁移、接口联调、UAT、性能、安全整改、上线演练。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生产上线版本与运维交接材料。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周期口径说明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上表阶段存在并行关系，不应简单相加。平台底座完成 60%-70% 后，基础信息、库存、报表模板、接口 Mock、迁移脚本可并行推进。若甲方接口材料、报表口径、历史样例数据无法同步提供，周期应切换到 5-6 个月或 6 个月以上口径。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五、关键设计细节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核心票务业务流转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3 核心票务业务流转图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5.1 库存与票号设计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采用“库存余额表 + 库存流水表 + 业务单据表”三层模型，不以单一库存字段承载全部业务历史。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票号段字段统一包含票价、票种、票组、起号、止号、张数、状态、库存主体、来源单据。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所有出入库动作必须写流水，流水记录来源、目标、数量、金额、操作人、操作时间和业务原因。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连续票号段需校验重叠、断号、越界、已核销、已退票、已结算等状态。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重新结算不得覆盖原记录，应形成更正单据和差异流水，保证历史可追溯。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5.2 权限与数据范围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权限与数据范围设计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4 权限与数据范围设计图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权限拆分为菜单权限、按钮权限、接口权限、数据范围权限和导出权限。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集团管理员可分配全局权限；集团操作员按授权查看部分分公司；分公司角色默认本分公司；票务室角色只看本票务室。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后端查询必须统一注入数据范围条件，不能只依赖前端隐藏菜单。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导出、打印、报表接口必须复用同一套数据权限规则。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5.3 报表设计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每张报表上线前先确认指标定义、筛选条件、统计维度、取数来源、金额精度、导出格式。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集团和分公司同类报表尽量合并，用数据权限和维度字段控制展示结果。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高频报表建立日汇总/月汇总表，避免每次查询实时扫大量流水。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报表验收必须使用旧系统样例数据做金额和张数比对。</w:t>
      </w:r>
    </w:p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5.3.1 消息中心、阈值预警与打印模板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能力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设计内容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待确认事项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消息中心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统一承载阈值预警、申请待审核、审核结果、导入失败、接口失败、结账提醒等站内消息。支持未读/已读、弹窗提醒、按角色过滤。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是否需要短信、企业微信、邮件等外部通知；提醒频率和免打扰规则。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阈值预警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阈值管理配置指标、阈值类型、适用组织、提醒对象；达到阈值时进入消息中心并在用户打开系统时提醒。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具体阈值指标、计算频率、是否需要定时任务预计算。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审批待办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印制、调拨、核销、调账、退票、销毁等流程统一生成待办消息，支持跳转到对应单据。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各流程审批层级和超时提醒规则。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打印模板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票单配票、票单结算、票单查询整合配票单/结算单打印；票单打印菜单删除但打印能力保留。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纸张规格、打印机环境、页眉页脚、签字栏、是否套打。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Excel 导出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报表、库存、流水、查询列表提供导出；大数据量导出采用异步任务和下载中心。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导出字段、文件格式、最大导出量、是否水印。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5.4 数据迁移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迁移对象包括 Oracle 表、序列、视图、函数、历史业务数据和必要附件。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先做数据体检，输出重复票号、缺失组织、异常状态、金额不平、非法日期等问题清单。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至少执行三轮迁移演练：开发、测试、准生产，每轮生成记录数、金额、票号覆盖和异常清单。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上线割接需要冻结旧系统写入、执行增量迁移、业务抽样核验，并保留回滚方案。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5.5 数据湖与外部系统对接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数据湖与外部系统对接架构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6 数据湖与外部系统对接架构图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重新审查需求文档后，外部系统对接不能只作为技术预留处理。数据湖、二维码系统、银行清分、票款清分/胆款系统、IC 卡系统、电子签章均会影响接口设计、数据模型、测试样例、部署网络和验收边界。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对接对象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需求依据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设计内容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工作量建议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待确认事项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公交集团数据湖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3.3.1 要求对外提供统一标准数据接口，用于数据湖获取票务系统数据。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建设数据服务接口、字段字典、鉴权加密、调用日志、频率控制、失败重试、样例数据。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18-35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数据范围、推送/拉取模式、接口协议、传输频率、加密算法、验收样例。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二维码系统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3.3.1 与数据湖并列；附录中二维码报表页面拟删除。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确认页面删除后是否仍需保留二维码相关数据服务；如保留，需建立接口或数据集。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12-28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页面删除是否等于业务下线；历史二维码数据是否迁移；是否还要对外供数。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银行清分清点系统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3.3.2 明确银行无网环境，通过线下报表、手动导入方式对接。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设计导入模板、字段校验、重复导入控制、失败明细、导入日志、人工确认流程。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15-32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银行文件格式、清分日报字段、异常处理、是否需要自动对账。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票款清分/胆款系统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3.3.3 由票务系统导入数据后同步胆款系统，拓展部分待明确。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设计清分日报同步接口、对账字段、同步状态、失败重试、补偿任务和接口日志。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15-32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同步方向、字段口径、触发时点、接口环境、失败重传和对账责任。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IC 卡/一卡通系统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3.3.4；线路、车辆、司售等基础信息来自 IC 卡系统同步。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建设主数据同步、增量更新、异常补偿、数据映射、同步日志和人工修正入口。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18-36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接口文档、同步频率、主数据归属、历史数据映射、异常数据处理。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电子签章系统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功能需求中说明根据业务后续评估再升级，特殊业务提供在线签字确认。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一期预留签章对象、签章状态、附件归档和业务钩子；正式接口联调可单列。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8-20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签章厂商、CA/证书、签章流程、法律效力、附件存储、费用授权。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5.5.1 数据湖接口细化设计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设计项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建议方案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需要确认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数据目录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建立票务主数据、库存流水、单据审批、票单结算、充值收入、无人售清分、报表汇总等数据集目录。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数据湖实际需要哪些主题域，是否需要历史全量数据。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同步模式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支持全量初始化 + 增量同步；增量可按更新时间、业务流水号或同步批次号识别。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数据湖是主动拉取还是票务系统主动推送。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接口形态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优先 REST/OpenAPI；大批量历史数据可采用文件交换或定时批量导出。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接口协议、网络通道、文件格式、字符集和压缩方式。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安全与加密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接口鉴权、签名、时间戳、防重放、传输加密、敏感字段脱敏、调用白名单。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集团安全要求、密钥管理方式、是否要求国密算法。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数据质量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提供记录数、金额合计、张数合计、批次状态、失败明细和重传机制。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数据湖验收规则、质量阈值、错误处理责任边界。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版本管理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字段字典和接口版本化，新增字段向后兼容，重大变更需变更单。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数据湖侧是否有统一接口规范和版本发布流程。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审计监控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记录调用方、接口、时间、参数摘要、返回状态、耗时、错误信息和重试次数。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日志留存周期、审计字段、告警推送方式。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5.6 待定事项与范围冻结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待定事项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需求文档表述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影响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冻结前处理建议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第三方对接模块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待提供具体接口材料。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影响接口工作量、排期、联调环境和报价边界。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把接口文档、样例数据、联调账号、验收规则作为开工前置条件。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安全性要求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待集团补充确认。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影响账号策略、日志留存、接口加密、部署网络和等保/密评。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形成安全需求清单，明确是否含等保、密评、信创测评配合。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调账管理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具体业务场景待明确。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影响库存、金额、报表和审计追溯。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明确可调对象、审批层级、是否影响历史报表、是否需要会计凭证。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特殊票管理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具体业务场景待明确。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影响是否纳入库存流水、收入统计和报表。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明确特殊票类型、领取/核销/结算流程和数据口径。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无人售票自动对账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功能范围中提出新增无人售票自动对账、数据清洗。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影响银行清分导入、异常处理和对账算法。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明确银行文件格式、对账口径、容差规则、人工复核流程。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电子签章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后续根据业务评估再升级。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影响特殊业务闭环和第三方费用。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一期只做预留还是完整接入需在合同中明确。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5.6.1 范围边界与报价口径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事项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建议纳入一期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建议单列/待确认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原因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数据湖接口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接口框架、字段字典、调用日志、Mock 联调、已确认数据集。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数据湖侧未确认的数据集、特殊加密、历史全量大批量交换。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数据范围和集团安全规范会直接影响工作量。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二维码系统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保留必要数据接口占位和历史数据确认。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若页面删除后仍要求完整二维码统计供数，应单列确认。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需求中页面拟删除，但 3.3.1 仍提到二维码系统。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电子签章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签章状态、附件字段、业务钩子、归档能力预留。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完整电子签章厂商联调、CA 授权、法律效力流程。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需求明确后续评估再升级。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等保/密评/信创测评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基础安全设计、日志审计、国产化适配。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正式测评整改、测评材料、第三方平台对接。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需求中安全性待集团补充确认。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调账/特殊票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基础单据与菜单预留。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完整业务规则、报表影响、会计口径调整。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原文标注具体业务场景待明确。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无人售自动对账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导入、清分日报、异常记录基础能力。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自动对账算法、容差规则、异常闭环和清洗策略。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原文提出新增能力但规则未展开。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冻结对象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冻结物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责任方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截止节点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未冻结后果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二维码业务边界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业务下线/仅删菜单/仍需对外供数三选一书面确认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1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进入稳妥计划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调账管理业务场景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可调对象、审批层级、是否影响历史报表、是否需会计凭证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集团财务/业务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2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单列变更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特殊票管理业务场景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特殊票类型、领取/核销/结算流程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2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单列变更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4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银行清分文件格式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字段、分隔符、字符集、对账容差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银行/集团清算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3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银行清分项延后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5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安全合规等级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等保二级/三级、是否含密评/信创测评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集团信息安全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安全整改后置或单列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电子签章范围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一期预留/一期完整接入 + CA 厂商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集团法务/业务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8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一期仅做预留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7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数据湖数据集与协议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主题域、推/拉、加密算法、验收样例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数据湖团队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数据湖仅交付框架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IC 卡同步主数据归属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线路/车辆/司售数据源、增量字段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一卡通公司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协同人日上调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9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报表口径样例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集团/分公司/票务室各类报表旧系统样例数据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6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报表验收延后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10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达梦双套许可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生产主备 + 开发测试主备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集团采购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8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不影响开发但影响联调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六、部署与可运维性设计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408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部署与可运维性架构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5 部署与可运维性架构图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本项目属于票务核心管理系统，部署和运维能力应在一期同步设计，不能等到开发完成后补。运维设计目标是：可部署、可监控、可审计、可备份、可恢复、可灰度、可回滚。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6.0 基础资源与容量规划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资源项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原始需求口径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设计建议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用户规模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总量 &gt;200 名，峰值 150 名在线。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 150 在线用户进行压力测试，报表、导入、结账等高负载场景单独压测。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服务器资源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3 台服务器：2 台数据库服务器，1 台应用服务器；总计 24vCPU、96G 内存。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基础方案按 1 台应用主机交付；应用双节点仅作为建议位预留或二期可选，不纳入基础资源口径。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数据库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达梦数据库 2 套：生产 1 套主备 + 开发测试 1 套主备。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达梦许可由甲方采购或在合同中单列；SQL 兼容性需前置验证，重点关注 Oracle 迁移函数、序列、视图和报表 SQL。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历史数据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Oracle 历史数据约 200GB，涉及 79 张表、序列、视图、函数等。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先做数据体检和迁移映射，历史数据全量迁移后再做增量割接。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对象存储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10 年存储需求约 800-1000G OBS。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导入文件、导出报表、签章附件、迁移中间文件需制定生命周期和归档策略。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网络资源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业务应用、数据库、数据中心服务器、线网中心内网需互通；涉及 192.168.99.x、10.129.87.x 和外网映射。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上线前完成网络连通性、端口、白名单、接口访问、文件交换路径和外网 NAT 映射确认。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资源与许可边界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基础部署严格对齐原始需求 3 台服务器口径。应用双节点、双活容灾、第三方运维平台对接、OBS 异地副本属于建议项或二期可选。达梦数据库授权、国产服务器与操作系统、国产中间件与浏览器、电子签章 CA 与硬件介质、等保/密评/信创测评费用，由甲方采购或在合同中单列。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运维领域</w:t>
            </w:r>
          </w:p>
        </w:tc>
        <w:tc>
          <w:tcPr>
            <w:tcW w:type="dxa" w:w="60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设计要求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工作量建议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环境规划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至少规划开发、测试、预生产、生产四类环境；生产采用应用服务与数据库分离部署，数据库主备。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12-18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国产化适配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适配达梦数据库、国产服务器操作系统、国产中间件或 Nginx/应用服务部署要求，提前验证驱动和 SQL 兼容性。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20-35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配置管理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数据库连接、文件存储、外部接口、导入目录、日志级别、任务开关全部配置化，避免写死在代码中。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8-12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CI/CD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建立构建、单元测试、打包、制品归档、部署脚本流程；生产部署需支持版本标记和回滚。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日志审计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区分业务操作日志、登录日志、接口日志、导入导出日志、系统错误日志；关键单据状态变化必须可追溯。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监控告警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监控应用存活、接口耗时、数据库连接池、慢 SQL、磁盘空间、导入任务、定时任务和异常错误率。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备份恢复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数据库全量/增量备份，导入文件和导出附件备份，定期恢复演练，形成恢复时间目标。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12-20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上线回滚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上线前冻结窗口、迁移脚本、冒烟检查、业务抽样、失败回滚、旧系统只读策略均需预案。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运维交接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提供部署手册、配置手册、巡检手册、常见问题、数据恢复手册和接口联调手册。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10-18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外部接口运维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对数据湖、IC卡、胆款、银行清分导入等接口建立调用日志、失败告警、重试补偿和手工补传工具。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20-35 人日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6.1 运维验收指标建议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建议值/要求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RPO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核心业务数据建议 ≤ 15 分钟；最终以甲方灾备要求和上线前验证为准。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通过达梦主备同步和定时归档备份兜底；如要求 RPO ≤ 5 分钟需开启同步复制并单独验收。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RTO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普通故障 2 小时内恢复；重大故障按应急预案切换或回滚。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需在上线前完成恢复演练和回滚演练。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日志留存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操作日志、登录日志、接口日志建议不少于 180 天；审计类日志可按集团要求延长。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满足操作追溯、接口追踪和安全审计。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接口重试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外部接口失败建议自动重试 3 次，仍失败进入补偿队列并告警。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适用于数据湖、IC 卡、胆款等接口。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导入失败处理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导入失败必须生成失败明细，可下载、可修正、可重新导入。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适用于银行清分、无人售、残币、充值等文件导入场景。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慢 SQL 阈值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建议 2 秒以上记录慢 SQL，5 秒以上告警或进入优化清单。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重点关注报表查询、库存查询和迁移后 SQL。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备份恢复演练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上线前至少 1 次，正式运行后建议每季度 1 次。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演练结果纳入运维交接材料。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生产配置管理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密钥、数据库连接、接口地址、文件路径、任务开关全部外置配置。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避免生产环境硬编码和手工改包。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6.2 性能、可靠性与兼容性验收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验收项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建议指标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在线用户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按峰值 150 在线用户设计压测场景。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覆盖登录、列表查询、库存查询、票单结算、报表查询。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普通查询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常规列表查询建议 2 秒内返回。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大数据量查询需分页、索引和权限过滤优化。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报表查询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常用日报/月报建议 5-10 秒内返回；复杂历史报表可异步生成。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高频报表建议使用汇总表或预计算。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Excel 导出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大文件导出使用异步任务，完成后下载，避免浏览器长时间等待。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需限制单次最大导出量和导出权限。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文件导入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导入任务异步执行，失败明细可下载，可修正后重导。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适用于银行清分、无人售、残币、充值等模板。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可靠性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关键业务异常必须事务回滚，不产生半库存、半流水状态。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票据库存、结算、退票、调账为重点。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浏览器兼容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优先支持 Chrome、Edge 及甲方内网指定国产浏览器。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打印、上传、下载需在目标浏览器验证。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打印兼容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配票单、结算单需验证纸张、页边距、分页和打印机兼容。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票单打印菜单删除，但打印能力保留到查询/结算入口。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压测场景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建议并发/数据量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通过判据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工具建议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登录与菜单加载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150 在线用户，分批登录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登录成功率稳定，菜单加载无明显超时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JMeter/Locust 或甲方指定工具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库存查询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50 并发，按分公司/票务室/票号段查询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常规查询 2 秒内，大查询分页返回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JMeter/Locust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20 并发，含票号段计算和保存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事务一致，无半库存/半流水状态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 + 场景脚本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报表查询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20 并发，日报/月报/清分报表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常用报表 5-10 秒内，复杂报表异步生成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Excel 导出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10 并发，大数据量导出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进入异步任务，不阻塞浏览器请求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 + 文件校验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文件导入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5 并发，银行清分/残币/充值模板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失败明细准确，可修正后重导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批量导入脚本</w:t>
            </w:r>
          </w:p>
        </w:tc>
      </w:tr>
    </w:tbl>
    <w:p/>
    <w:p>
      <w:pPr>
        <w:spacing w:after="120" w:line="269" w:lineRule="auto"/>
      </w:pPr>
      <w:r>
        <w:rPr>
          <w:rFonts w:ascii="Calibri" w:hAnsi="Calibri" w:eastAsia="Microsoft YaHei"/>
          <w:b w:val="0"/>
          <w:sz w:val="19"/>
        </w:rPr>
        <w:t>压测完成后需执行数据一致性核验脚本，至少校验：库存余额等于流水汇总、票号段数量等于起号至止号枚举数量、单据金额等于明细金额汇总。核验结果应纳入性能测试报告。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6.3 交付物、培训与运维交接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交付类别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需求与设计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需求矩阵、功能清单、原型、数据库设计、接口设计、报表口径表。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作为验收范围和变更管理基线。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开发交付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源代码、构建脚本、部署包、数据库脚本、迁移脚本、导入模板、打印模板。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版本需可追溯，生产发布包需归档。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测试交付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测试用例、接口测试报告、性能测试报告、UAT 问题清单、回归测试报告。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重点覆盖库存流水、结算、权限、报表、迁移。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迁移方案、字段映射、迁移脚本、数据体检报告、迁移核对报告、割接记录。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至少三轮迁移演练后上线。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运维文档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部署手册、配置手册、巡检手册、备份恢复手册、接口补偿手册、应急回滚预案。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交付给甲方运维团队。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用户材料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用户操作手册、管理员手册、培训课件、常见问题清单。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按集团、分公司、票务室角色分别组织培训。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培训安排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管理员培训、业务操作培训、报表核对培训、运维培训。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建议至少 2 轮：上线前集中培训，上线后问题复盘培训。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6.4 目标环境矩阵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维度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必测项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选测项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备注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浏览器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Chrome 100+、Edge 100+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奇安信浏览器、UOS 浏览器、360 安全浏览器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甲方信创浏览器需提供具体版本。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操作系统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Windows 10/11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统信 UOS、麒麟 V10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服务端和客户端分别声明。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打印机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 款激光 + 1 款针打（甲方提供型号）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热敏打印机（如有）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票务打印多用针打，纸张需现场调试。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屏幕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1920×1080 桌面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1366×768 笔记本、4K 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UI 适配最小宽度建议 1366。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网络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内网 100M/1G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跨区域内网带宽 ≥ 50M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报表和导出场景按 50M 估算。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部署工作量口径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部署与运维建设建议单独预留 140-235 人日，其中外部接口运维、失败补偿和告警监控需纳入一期。如果甲方要求等保测评、密评配合、信创测评、双活容灾或第三方运维平台对接，应另行增加专项工作量和报价。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七、详细功能项清单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8138160" cy="5425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总体技术架构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42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/>
          <w:sz w:val="18"/>
        </w:rPr>
        <w:t>图 7 总体技术架构图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以下清单按需求文档附录逐项展开。正常人日为完整开发、自测、联调配合口径；协同后人日为采用 Vibe Coding 方式后的执行估算，不包含甲方等待、接口资料延迟和重大需求变更。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296" w:bottom="1224" w:left="1296" w:header="648" w:footer="64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详细功能项与工作量估算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序号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模块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功能页面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类型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现有功能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开发内容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正常人日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协同后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难点/备注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查询、新建、修改、删除、绑定车队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线路管理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线路管理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票价管理（集团账号）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票价管理（集团账号）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车辆管理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车辆管理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司售管理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司售管理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机具查询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查询维护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机具查询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3-6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1.0-2.4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以查询、筛选、详情、导出或基础维护为主。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模版下载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下载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模版下载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配票申请管理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申请、详细查看、主动配票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配票申请管理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票务室调票管理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调票、详细查看、单张/批量调票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票务室调票管理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添加、更换线路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票单配票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票单配票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票单打印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打印配票单、打印结算单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票单打印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票袋调票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票袋调票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无人售管理（线路）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无人售管理（线路）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无人售管理（车辆）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无人售管理（车辆）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票单重新结算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重新结算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票单重新结算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票号查询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查询、分发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分公司IC卡入库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入库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分公司IC卡入库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查询、退回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网点IC卡售出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售出记录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网点IC卡售出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配出统计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配出统计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统计查询、生成日报表、删除日报表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普票收入日报表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普票收入日报表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月终结算报表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月终结算报表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票款清分日报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统计查询、按阶段导出excel、导出excel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票款清分日报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收入走势报表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收入走势报表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残币入账走势报表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残币入账走势报表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分公司票务管理月报表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分公司票务管理月报表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IC卡充值网点统报表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IC卡充值网点统报表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充值点充值卡盘点表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充值点充值卡盘点表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分公司收入核对报表（分公司权限）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分公司收入核对报表（分公司权限）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票务室日结报表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票务室日结报表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票袋结存报表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票袋结存报表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票务室交班对账表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票务室交班对账表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票款实交银行登记表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统计查询、结账、删除、导出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票款实交银行登记表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特殊票管理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充值卡/发票管理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充值卡/发票管理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充值收入管理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添加、充值导入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充值收入管理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异物管理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添加、编辑、领取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异物管理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包专管理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包专管理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多样化运营登记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添加、登记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多样化运营登记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配票应急导入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上传excel、上传票袋数据（分公司/票务室）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配票应急导入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充值导入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用户管理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添加、编辑、编辑操作权限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用户管理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阈值管理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阈值管理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权限管理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添加、编辑（分公司/票务室权限）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权限管理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菜单管理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菜单管理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登录日志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登录日志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公交集团数据湖标准数据接口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统一数据接口、数据格式、传输频率、安全保障、数据加密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公交集团数据湖标准数据接口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18-35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需确认数据范围、接口协议、鉴权加密、传输频率、推拉模式和验收样例。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二维码系统数据接口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统一标准数据接口、二维码相关历史/统计数据供给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二维码系统数据接口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12-28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 / 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需以接口文档、联调环境、样例数据和验收规则为准。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银行清分清点系统线下对接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线下报表传递、手动导入、清分日报入库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银行清分清点系统线下对接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15-32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需确认字段口径、文件/接口格式、重试补偿、对账机制和失败处理。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票款清分/胆款系统同步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票务系统导入数据后同步胆款系统，涉及票款清分日报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票款清分/胆款系统同步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15-32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需确认字段口径、文件/接口格式、重试补偿、对账机制和失败处理。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IC卡/一卡通系统数据对接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线路、车辆、司售、IC卡类型、充值相关数据同步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IC卡/一卡通系统数据对接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18-36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需确认主数据归属、同步频率、增量机制、异常补偿和历史数据映射。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电子签章系统预留/对接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特殊业务在线签字确认、签章状态、签章文件归档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电子签章系统预留/对接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8-20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2.6-8.0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一期建议预留签章对象、签章状态和附件归档；正式联调视接口材料另估。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安全性与合规要求确认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安全策略、审计要求、加密要求、等保/密评/信创测评配合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安全性与合规要求确认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1.9-9.6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当前需求材料不足，需业务或集团侧补充确认后才能冻结范围。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调账管理业务场景确认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调账申请、审核、库存/金额调整、差异流水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调账管理业务场景确认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调账业务会影响库存、金额、报表和审计追溯，需高于普通待定事项估算。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特殊票管理业务场景确认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特殊票新增、修改、删除、领取、核销或结算关系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特殊票管理业务场景确认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1.9-9.6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当前需求材料不足，需业务或集团侧补充确认后才能冻结范围。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无人售票自动对账与数据清洗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无人售票清分数据自动对账、异常识别、数据清洗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无人售票自动对账与数据清洗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自动对账规则未冻结，需按银行清分护栏预留分析、校验和复核工时。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数据迁移与上线割接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Oracle 到达梦迁移、三轮迁移演练、增量割接、抽样核验、回滚预案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数据迁移与上线割接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50-80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30-55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三轮迁移演练、数据治理、增量割接和回滚验证不可省略。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培训与运维交接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管理员培训、业务培训、报表核对培训、运维培训、用户手册和培训课件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培训与运维交接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15-25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培训材料、分角色培训和上线后复盘需单列交付。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消息中心与审批待办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阈值预警、申请/审核消息、未读已读、弹窗提醒、待办跳转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消息中心与审批待办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消息中心、待办提醒和阈值预警属于跨模块底座能力。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打印模板与浏览器打印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配票单、结算单、打印模板、纸张规格、浏览器打印兼容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打印模板与浏览器打印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打印菜单删除不代表打印能力删除，需统一模板和兼容性验证。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Excel异步导出中心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大数据量导出、异步任务、下载中心、导出权限、水印/字段控制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Excel异步导出中心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大数据量导出需异步任务、权限控制和下载中心。</w:t>
            </w:r>
          </w:p>
        </w:tc>
      </w:tr>
    </w:tbl>
    <w:p/>
    <w:p>
      <w:pPr>
        <w:sectPr>
          <w:pgSz w:w="15840" w:h="12240" w:orient="landscape"/>
          <w:pgMar w:top="864" w:right="792" w:bottom="864" w:left="792" w:header="504" w:footer="504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八、风险与边界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风险点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表现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建议处理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需求边界不清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文档中存在“待明确”“删除”“整合”项，容易反复变更。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在开发前形成冻结版功能清单，变更走审批和工期调整。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接口资料缺失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数据湖、二维码、胆款、电子签章等接口材料未完全明确。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一期只做接口框架和已确认接口，未确认部分单独列二期。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报表口径争议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同一报表集团/分公司/票务室口径不同，数字验收困难。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先用旧系统样例数据签字确认，再开发。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历史数据异常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旧系统长期运行导致脏数据和状态不一致。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迁移前做数据体检，异常数据由业务确认处理规则。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国产化兼容风险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达梦 SQL、数据库驱动、国产操作系统、中间件和浏览器兼容问题可能后置暴露。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开发早期即接入达梦和目标浏览器，迁移函数、序列、视图和报表 SQL 前置验证。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网络连通延期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云平台、数据中心、线网中心、外部接口白名单和端口开通不及时。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把网络连通、端口、白名单和 NAT 映射列为上线前置条件。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安全合规后补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等保、密评、信创测评要求若后置补充，会影响架构、日志、加密和部署。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安全等级和测评范围在第 4 周前冻结，正式测评配合单列报价。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打印与浏览器兼容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配票单、结算单在目标浏览器、打印机、纸张和页边距下可能存在偏差。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上线前用甲方实际浏览器和打印机做专项验证。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旧系统并行窗口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上线割接后旧系统是否只读、并行多久、如何回滚未明确。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制定割接窗口、只读策略、增量迁移、回滚分支和抽样验收流程。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AI 生成代码质量波动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常规代码效率高，但核心业务可能遗漏隐性规则。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核心交易类代码必须人工 review，并要求测试覆盖状态流转和金额计算。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九、结论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本项目按当前修订口径共 102 个工作条目，已将原需求明确删除/整合的功能按 0-1 人日处理，并合并集团/分公司同名报表。传统完整实施工作量约 713-1536 人日，Vibe Coding 协同后约 389-772 人日；核心业务、外部接口、报表口径、数据迁移和上线割接设置最低保护工时，不随 60% 提效目标等比例压缩。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周期建议采用双口径：激进计划为 8-10 人、4-5 个月，前提是需求冻结、接口资料、历史样例数据、达梦许可和联调环境在约定节点全部到位；稳妥计划为 8-10 人、5-6 个月，适用于接口材料补充、报表口径多轮确认或迁移数据质量治理场景。任一关键前置条件未达成，应自动切换至稳妥计划或单列变更。上述协同后人日不含部署与运维建设的 140-235 人日；后者已包含在基础报价中，仅当甲方追加等保/密评/信创测评、双活容灾或第三方运维平台对接时另行增加专项报价。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报价建议维持 450-650 万区间，稳妥报价点 520-580 万。该报价不含达梦数据库授权、国产服务器与操作系统、国产中间件、第三方电子签章、CA/硬件介质、等保/密评/信创测评、第三方运维平台和双活容灾等单列项目。效率提升主要压缩周期和重复劳动，不等于按同等比例降低项目责任、质保、联调和验收成本。</w:t>
      </w:r>
    </w:p>
    <w:sectPr w:rsidR="00FC693F" w:rsidRPr="0006063C" w:rsidSect="00034616">
      <w:pgSz w:w="15840" w:h="12240" w:orient="landscape"/>
      <w:pgMar w:top="864" w:right="792" w:bottom="864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C7A"/>
        <w:sz w:val="17"/>
      </w:rPr>
      <w:t>内部评估文件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606C7A"/>
        <w:sz w:val="17"/>
      </w:rPr>
      <w:t>北京公交集团票务综合管理平台系统升级 | Vibe Coding 实施与工作量评估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